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24F19">
      <w:pPr>
        <w:pStyle w:val="14"/>
        <w:jc w:val="center"/>
        <w:rPr>
          <w:sz w:val="56"/>
          <w:szCs w:val="56"/>
        </w:rPr>
      </w:pPr>
    </w:p>
    <w:p w14:paraId="2A7ED034">
      <w:pPr>
        <w:pStyle w:val="14"/>
        <w:jc w:val="center"/>
        <w:rPr>
          <w:sz w:val="56"/>
          <w:szCs w:val="56"/>
        </w:rPr>
      </w:pPr>
    </w:p>
    <w:p w14:paraId="50C9449D">
      <w:pPr>
        <w:pStyle w:val="14"/>
        <w:jc w:val="center"/>
        <w:rPr>
          <w:sz w:val="84"/>
          <w:szCs w:val="84"/>
        </w:rPr>
      </w:pPr>
    </w:p>
    <w:p w14:paraId="72B1232A">
      <w:pPr>
        <w:pStyle w:val="14"/>
        <w:jc w:val="center"/>
        <w:rPr>
          <w:sz w:val="84"/>
          <w:szCs w:val="84"/>
        </w:rPr>
      </w:pPr>
    </w:p>
    <w:p w14:paraId="0429A247">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eastAsia="zh-CN"/>
        </w:rPr>
        <w:t>2025年</w:t>
      </w:r>
      <w:r>
        <w:rPr>
          <w:rFonts w:hint="eastAsia" w:ascii="方正小标宋_GBK" w:hAnsi="方正小标宋_GBK" w:eastAsia="方正小标宋_GBK" w:cs="方正小标宋_GBK"/>
          <w:sz w:val="72"/>
          <w:szCs w:val="72"/>
        </w:rPr>
        <w:t>度</w:t>
      </w:r>
    </w:p>
    <w:p w14:paraId="5BB658F1">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val="en-US" w:eastAsia="zh-CN"/>
        </w:rPr>
        <w:t>岳阳市固体废物处置服务中心</w:t>
      </w:r>
      <w:r>
        <w:rPr>
          <w:rFonts w:hint="eastAsia" w:ascii="方正小标宋_GBK" w:hAnsi="方正小标宋_GBK" w:eastAsia="方正小标宋_GBK" w:cs="方正小标宋_GBK"/>
          <w:sz w:val="72"/>
          <w:szCs w:val="72"/>
        </w:rPr>
        <w:t>部门决算</w:t>
      </w:r>
    </w:p>
    <w:p w14:paraId="345FA5E2">
      <w:pPr>
        <w:pStyle w:val="14"/>
        <w:jc w:val="center"/>
        <w:rPr>
          <w:rFonts w:hint="eastAsia" w:ascii="方正小标宋_GBK" w:hAnsi="方正小标宋_GBK" w:eastAsia="方正小标宋_GBK" w:cs="方正小标宋_GBK"/>
          <w:sz w:val="56"/>
          <w:szCs w:val="56"/>
        </w:rPr>
      </w:pPr>
    </w:p>
    <w:p w14:paraId="2E564DD6">
      <w:pPr>
        <w:pStyle w:val="14"/>
        <w:jc w:val="center"/>
        <w:rPr>
          <w:sz w:val="56"/>
          <w:szCs w:val="56"/>
        </w:rPr>
      </w:pPr>
    </w:p>
    <w:p w14:paraId="5D39E643">
      <w:pPr>
        <w:pStyle w:val="14"/>
        <w:jc w:val="center"/>
        <w:rPr>
          <w:sz w:val="56"/>
          <w:szCs w:val="56"/>
        </w:rPr>
      </w:pPr>
    </w:p>
    <w:p w14:paraId="3E113DCF">
      <w:pPr>
        <w:pStyle w:val="14"/>
        <w:jc w:val="center"/>
        <w:rPr>
          <w:sz w:val="56"/>
          <w:szCs w:val="56"/>
        </w:rPr>
      </w:pPr>
    </w:p>
    <w:p w14:paraId="087541C7">
      <w:pPr>
        <w:pStyle w:val="14"/>
        <w:jc w:val="center"/>
        <w:rPr>
          <w:sz w:val="32"/>
          <w:szCs w:val="32"/>
        </w:rPr>
      </w:pPr>
    </w:p>
    <w:p w14:paraId="32B54A39">
      <w:pPr>
        <w:pStyle w:val="14"/>
        <w:jc w:val="center"/>
        <w:rPr>
          <w:sz w:val="32"/>
          <w:szCs w:val="32"/>
        </w:rPr>
      </w:pPr>
    </w:p>
    <w:p w14:paraId="6174FE50">
      <w:pPr>
        <w:pStyle w:val="14"/>
        <w:jc w:val="both"/>
        <w:rPr>
          <w:sz w:val="32"/>
          <w:szCs w:val="32"/>
        </w:rPr>
      </w:pPr>
    </w:p>
    <w:p w14:paraId="6B3AA0B8">
      <w:pPr>
        <w:pStyle w:val="14"/>
        <w:spacing w:line="500" w:lineRule="exact"/>
        <w:jc w:val="center"/>
        <w:rPr>
          <w:b/>
          <w:sz w:val="36"/>
          <w:szCs w:val="28"/>
        </w:rPr>
      </w:pPr>
      <w:r>
        <w:rPr>
          <w:rFonts w:hint="eastAsia"/>
          <w:b/>
          <w:sz w:val="36"/>
          <w:szCs w:val="28"/>
        </w:rPr>
        <w:t>目录</w:t>
      </w:r>
    </w:p>
    <w:p w14:paraId="3ADADB9F">
      <w:pPr>
        <w:pStyle w:val="14"/>
        <w:keepNext w:val="0"/>
        <w:keepLines w:val="0"/>
        <w:pageBreakBefore w:val="0"/>
        <w:widowControl w:val="0"/>
        <w:kinsoku/>
        <w:wordWrap/>
        <w:overflowPunct/>
        <w:topLinePunct w:val="0"/>
        <w:bidi w:val="0"/>
        <w:snapToGrid/>
        <w:spacing w:line="42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岳阳市固体废物处置服务中心单位</w:t>
      </w:r>
      <w:r>
        <w:rPr>
          <w:rFonts w:hint="eastAsia" w:ascii="黑体" w:hAnsi="黑体" w:eastAsia="黑体" w:cs="黑体"/>
          <w:b w:val="0"/>
          <w:bCs/>
          <w:sz w:val="28"/>
          <w:szCs w:val="28"/>
        </w:rPr>
        <w:t>概况</w:t>
      </w:r>
    </w:p>
    <w:p w14:paraId="5D8B5A4A">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37A18CB4">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55001A48">
      <w:pPr>
        <w:pStyle w:val="14"/>
        <w:keepNext w:val="0"/>
        <w:keepLines w:val="0"/>
        <w:pageBreakBefore w:val="0"/>
        <w:widowControl w:val="0"/>
        <w:kinsoku/>
        <w:wordWrap/>
        <w:overflowPunct/>
        <w:topLinePunct w:val="0"/>
        <w:bidi w:val="0"/>
        <w:snapToGrid/>
        <w:spacing w:line="42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0D4A5210">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67A40CBC">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7068B3C3">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7A1A5B7D">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3A582F6B">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2F8C6479">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D4D79D9">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17CBF84A">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5FF2DACF">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26B049C0">
      <w:pPr>
        <w:pStyle w:val="14"/>
        <w:keepNext w:val="0"/>
        <w:keepLines w:val="0"/>
        <w:pageBreakBefore w:val="0"/>
        <w:widowControl w:val="0"/>
        <w:kinsoku/>
        <w:wordWrap/>
        <w:overflowPunct/>
        <w:topLinePunct w:val="0"/>
        <w:bidi w:val="0"/>
        <w:snapToGrid/>
        <w:spacing w:line="42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119A5742">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123FBD6C">
      <w:pPr>
        <w:keepNext w:val="0"/>
        <w:keepLines w:val="0"/>
        <w:pageBreakBefore w:val="0"/>
        <w:widowControl w:val="0"/>
        <w:kinsoku/>
        <w:wordWrap/>
        <w:overflowPunct/>
        <w:topLinePunct w:val="0"/>
        <w:bidi w:val="0"/>
        <w:snapToGrid/>
        <w:spacing w:line="42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0597C543">
      <w:pPr>
        <w:keepNext w:val="0"/>
        <w:keepLines w:val="0"/>
        <w:pageBreakBefore w:val="0"/>
        <w:widowControl w:val="0"/>
        <w:kinsoku/>
        <w:wordWrap/>
        <w:overflowPunct/>
        <w:topLinePunct w:val="0"/>
        <w:autoSpaceDE w:val="0"/>
        <w:autoSpaceDN w:val="0"/>
        <w:bidi w:val="0"/>
        <w:adjustRightInd w:val="0"/>
        <w:snapToGrid/>
        <w:spacing w:line="42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06FF3F9B">
      <w:pPr>
        <w:keepNext w:val="0"/>
        <w:keepLines w:val="0"/>
        <w:pageBreakBefore w:val="0"/>
        <w:widowControl w:val="0"/>
        <w:kinsoku/>
        <w:wordWrap/>
        <w:overflowPunct/>
        <w:topLinePunct w:val="0"/>
        <w:autoSpaceDE w:val="0"/>
        <w:autoSpaceDN w:val="0"/>
        <w:bidi w:val="0"/>
        <w:adjustRightInd w:val="0"/>
        <w:snapToGrid/>
        <w:spacing w:line="42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112A5542">
      <w:pPr>
        <w:keepNext w:val="0"/>
        <w:keepLines w:val="0"/>
        <w:pageBreakBefore w:val="0"/>
        <w:widowControl w:val="0"/>
        <w:kinsoku/>
        <w:wordWrap/>
        <w:overflowPunct/>
        <w:topLinePunct w:val="0"/>
        <w:autoSpaceDE w:val="0"/>
        <w:autoSpaceDN w:val="0"/>
        <w:bidi w:val="0"/>
        <w:adjustRightInd w:val="0"/>
        <w:snapToGrid/>
        <w:spacing w:line="42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7FD20D5F">
      <w:pPr>
        <w:keepNext w:val="0"/>
        <w:keepLines w:val="0"/>
        <w:pageBreakBefore w:val="0"/>
        <w:widowControl w:val="0"/>
        <w:kinsoku/>
        <w:wordWrap/>
        <w:overflowPunct/>
        <w:topLinePunct w:val="0"/>
        <w:autoSpaceDE w:val="0"/>
        <w:autoSpaceDN w:val="0"/>
        <w:bidi w:val="0"/>
        <w:adjustRightInd w:val="0"/>
        <w:snapToGrid/>
        <w:spacing w:line="42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6773743A">
      <w:pPr>
        <w:keepNext w:val="0"/>
        <w:keepLines w:val="0"/>
        <w:pageBreakBefore w:val="0"/>
        <w:widowControl w:val="0"/>
        <w:kinsoku/>
        <w:wordWrap/>
        <w:overflowPunct/>
        <w:topLinePunct w:val="0"/>
        <w:autoSpaceDE w:val="0"/>
        <w:autoSpaceDN w:val="0"/>
        <w:bidi w:val="0"/>
        <w:adjustRightInd w:val="0"/>
        <w:snapToGrid/>
        <w:spacing w:line="42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0979BEA5">
      <w:pPr>
        <w:keepNext w:val="0"/>
        <w:keepLines w:val="0"/>
        <w:pageBreakBefore w:val="0"/>
        <w:widowControl w:val="0"/>
        <w:kinsoku/>
        <w:wordWrap/>
        <w:overflowPunct/>
        <w:topLinePunct w:val="0"/>
        <w:autoSpaceDE w:val="0"/>
        <w:autoSpaceDN w:val="0"/>
        <w:bidi w:val="0"/>
        <w:adjustRightInd w:val="0"/>
        <w:snapToGrid/>
        <w:spacing w:line="42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65286EDA">
      <w:pPr>
        <w:keepNext w:val="0"/>
        <w:keepLines w:val="0"/>
        <w:pageBreakBefore w:val="0"/>
        <w:widowControl w:val="0"/>
        <w:kinsoku/>
        <w:wordWrap/>
        <w:overflowPunct/>
        <w:topLinePunct w:val="0"/>
        <w:autoSpaceDE w:val="0"/>
        <w:autoSpaceDN w:val="0"/>
        <w:bidi w:val="0"/>
        <w:adjustRightInd w:val="0"/>
        <w:snapToGrid/>
        <w:spacing w:line="42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60D168F4">
      <w:pPr>
        <w:keepNext w:val="0"/>
        <w:keepLines w:val="0"/>
        <w:pageBreakBefore w:val="0"/>
        <w:widowControl w:val="0"/>
        <w:kinsoku/>
        <w:wordWrap/>
        <w:overflowPunct/>
        <w:topLinePunct w:val="0"/>
        <w:autoSpaceDE w:val="0"/>
        <w:autoSpaceDN w:val="0"/>
        <w:bidi w:val="0"/>
        <w:adjustRightInd w:val="0"/>
        <w:snapToGrid/>
        <w:spacing w:line="42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7DF611BB">
      <w:pPr>
        <w:keepNext w:val="0"/>
        <w:keepLines w:val="0"/>
        <w:pageBreakBefore w:val="0"/>
        <w:widowControl w:val="0"/>
        <w:kinsoku/>
        <w:wordWrap/>
        <w:overflowPunct/>
        <w:topLinePunct w:val="0"/>
        <w:autoSpaceDE w:val="0"/>
        <w:autoSpaceDN w:val="0"/>
        <w:bidi w:val="0"/>
        <w:adjustRightInd w:val="0"/>
        <w:snapToGrid/>
        <w:spacing w:line="42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1BAA3562">
      <w:pPr>
        <w:keepNext w:val="0"/>
        <w:keepLines w:val="0"/>
        <w:pageBreakBefore w:val="0"/>
        <w:widowControl w:val="0"/>
        <w:kinsoku/>
        <w:wordWrap/>
        <w:overflowPunct/>
        <w:topLinePunct w:val="0"/>
        <w:autoSpaceDE w:val="0"/>
        <w:autoSpaceDN w:val="0"/>
        <w:bidi w:val="0"/>
        <w:adjustRightInd w:val="0"/>
        <w:snapToGrid/>
        <w:spacing w:line="42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2043A0A7">
      <w:pPr>
        <w:keepNext w:val="0"/>
        <w:keepLines w:val="0"/>
        <w:pageBreakBefore w:val="0"/>
        <w:widowControl w:val="0"/>
        <w:kinsoku/>
        <w:wordWrap/>
        <w:overflowPunct/>
        <w:topLinePunct w:val="0"/>
        <w:autoSpaceDE w:val="0"/>
        <w:autoSpaceDN w:val="0"/>
        <w:bidi w:val="0"/>
        <w:adjustRightInd w:val="0"/>
        <w:snapToGrid/>
        <w:spacing w:line="42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2FF09126">
      <w:pPr>
        <w:pStyle w:val="14"/>
        <w:keepNext w:val="0"/>
        <w:keepLines w:val="0"/>
        <w:pageBreakBefore w:val="0"/>
        <w:widowControl w:val="0"/>
        <w:kinsoku/>
        <w:wordWrap/>
        <w:overflowPunct/>
        <w:topLinePunct w:val="0"/>
        <w:bidi w:val="0"/>
        <w:snapToGrid/>
        <w:spacing w:line="420" w:lineRule="exact"/>
        <w:ind w:firstLine="700" w:firstLineChars="25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5E14E1FC">
      <w:pPr>
        <w:pStyle w:val="14"/>
        <w:keepNext w:val="0"/>
        <w:keepLines w:val="0"/>
        <w:pageBreakBefore w:val="0"/>
        <w:widowControl w:val="0"/>
        <w:kinsoku/>
        <w:wordWrap/>
        <w:overflowPunct/>
        <w:topLinePunct w:val="0"/>
        <w:bidi w:val="0"/>
        <w:snapToGrid/>
        <w:spacing w:line="42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0AB7A323">
      <w:pPr>
        <w:pStyle w:val="14"/>
        <w:keepNext w:val="0"/>
        <w:keepLines w:val="0"/>
        <w:pageBreakBefore w:val="0"/>
        <w:widowControl w:val="0"/>
        <w:kinsoku/>
        <w:wordWrap/>
        <w:overflowPunct/>
        <w:topLinePunct w:val="0"/>
        <w:bidi w:val="0"/>
        <w:snapToGrid/>
        <w:spacing w:line="420" w:lineRule="exact"/>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200C8D81">
      <w:pPr>
        <w:pStyle w:val="14"/>
        <w:ind w:firstLine="1920" w:firstLineChars="400"/>
        <w:jc w:val="both"/>
        <w:rPr>
          <w:rFonts w:hint="eastAsia" w:ascii="方正小标宋_GBK" w:hAnsi="方正小标宋_GBK" w:eastAsia="方正小标宋_GBK" w:cs="方正小标宋_GBK"/>
          <w:sz w:val="48"/>
          <w:szCs w:val="48"/>
        </w:rPr>
      </w:pPr>
    </w:p>
    <w:p w14:paraId="6A48EAF4">
      <w:pPr>
        <w:pStyle w:val="14"/>
        <w:jc w:val="center"/>
        <w:rPr>
          <w:rFonts w:hint="eastAsia" w:ascii="方正小标宋_GBK" w:hAnsi="方正小标宋_GBK" w:eastAsia="方正小标宋_GBK" w:cs="方正小标宋_GBK"/>
          <w:sz w:val="48"/>
          <w:szCs w:val="48"/>
        </w:rPr>
      </w:pPr>
    </w:p>
    <w:p w14:paraId="0F0B106B">
      <w:pPr>
        <w:pStyle w:val="14"/>
        <w:jc w:val="center"/>
        <w:rPr>
          <w:rFonts w:hint="eastAsia" w:ascii="方正小标宋_GBK" w:hAnsi="方正小标宋_GBK" w:eastAsia="方正小标宋_GBK" w:cs="方正小标宋_GBK"/>
          <w:sz w:val="48"/>
          <w:szCs w:val="48"/>
        </w:rPr>
      </w:pPr>
    </w:p>
    <w:p w14:paraId="6896315F">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第一部分</w:t>
      </w:r>
    </w:p>
    <w:p w14:paraId="2D33FABA">
      <w:pPr>
        <w:pStyle w:val="14"/>
        <w:jc w:val="center"/>
        <w:rPr>
          <w:rFonts w:hint="eastAsia" w:ascii="方正小标宋_GBK" w:hAnsi="方正小标宋_GBK" w:eastAsia="方正小标宋_GBK" w:cs="方正小标宋_GBK"/>
          <w:sz w:val="84"/>
          <w:szCs w:val="84"/>
        </w:rPr>
      </w:pPr>
    </w:p>
    <w:p w14:paraId="4A369D76">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岳阳市固体废物处置服务中心单位</w:t>
      </w:r>
      <w:r>
        <w:rPr>
          <w:rFonts w:hint="eastAsia" w:ascii="方正小标宋_GBK" w:hAnsi="方正小标宋_GBK" w:eastAsia="方正小标宋_GBK" w:cs="方正小标宋_GBK"/>
          <w:sz w:val="84"/>
          <w:szCs w:val="84"/>
        </w:rPr>
        <w:t>概况</w:t>
      </w:r>
    </w:p>
    <w:p w14:paraId="4CB2CC9E">
      <w:pPr>
        <w:pStyle w:val="14"/>
        <w:jc w:val="center"/>
        <w:rPr>
          <w:rFonts w:hint="eastAsia" w:ascii="方正小标宋_GBK" w:hAnsi="方正小标宋_GBK" w:eastAsia="方正小标宋_GBK" w:cs="方正小标宋_GBK"/>
          <w:sz w:val="84"/>
          <w:szCs w:val="84"/>
        </w:rPr>
      </w:pPr>
    </w:p>
    <w:p w14:paraId="2E465901">
      <w:pPr>
        <w:pStyle w:val="14"/>
        <w:jc w:val="center"/>
        <w:rPr>
          <w:rFonts w:hint="eastAsia" w:ascii="方正小标宋_GBK" w:hAnsi="方正小标宋_GBK" w:eastAsia="方正小标宋_GBK" w:cs="方正小标宋_GBK"/>
          <w:sz w:val="84"/>
          <w:szCs w:val="84"/>
        </w:rPr>
      </w:pPr>
    </w:p>
    <w:p w14:paraId="147E4C88">
      <w:pPr>
        <w:pStyle w:val="14"/>
        <w:jc w:val="both"/>
        <w:rPr>
          <w:rFonts w:hint="eastAsia" w:ascii="方正小标宋_GBK" w:hAnsi="方正小标宋_GBK" w:eastAsia="方正小标宋_GBK" w:cs="方正小标宋_GBK"/>
          <w:sz w:val="84"/>
          <w:szCs w:val="84"/>
        </w:rPr>
      </w:pPr>
    </w:p>
    <w:p w14:paraId="1C6560F9">
      <w:pPr>
        <w:pStyle w:val="15"/>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 w:val="0"/>
          <w:bCs w:val="0"/>
          <w:sz w:val="32"/>
          <w:szCs w:val="32"/>
          <w:lang w:eastAsia="zh-CN"/>
        </w:rPr>
      </w:pPr>
    </w:p>
    <w:p w14:paraId="6B280F31">
      <w:pPr>
        <w:pStyle w:val="15"/>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 w:val="0"/>
          <w:bCs w:val="0"/>
          <w:sz w:val="32"/>
          <w:szCs w:val="32"/>
          <w:lang w:eastAsia="zh-CN"/>
        </w:rPr>
      </w:pPr>
    </w:p>
    <w:p w14:paraId="3CE1CED0">
      <w:pPr>
        <w:pStyle w:val="15"/>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部门职责</w:t>
      </w:r>
    </w:p>
    <w:p w14:paraId="137D3E39">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CESI仿宋-GB2312" w:hAnsi="CESI仿宋-GB2312" w:eastAsia="CESI仿宋-GB2312" w:cs="CESI仿宋-GB2312"/>
          <w:sz w:val="32"/>
          <w:szCs w:val="24"/>
          <w:lang w:eastAsia="zh-CN"/>
        </w:rPr>
      </w:pPr>
      <w:r>
        <w:rPr>
          <w:rFonts w:hint="eastAsia" w:ascii="CESI仿宋-GB2312" w:hAnsi="CESI仿宋-GB2312" w:eastAsia="CESI仿宋-GB2312" w:cs="CESI仿宋-GB2312"/>
          <w:sz w:val="32"/>
          <w:szCs w:val="24"/>
          <w:lang w:eastAsia="zh-CN"/>
        </w:rPr>
        <w:t>（一）负责岳阳市静脉产业园区（以下简称园区）的发展规划、控详规划和规划环评的编制和实施的行政辅助工作；</w:t>
      </w:r>
    </w:p>
    <w:p w14:paraId="2FF608C0">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24"/>
          <w:lang w:eastAsia="zh-CN"/>
        </w:rPr>
        <w:t>（二）负责园区内企业日常运营监管的事务性工作，协助园区内企业做好各类扶持政策的申报工作；</w:t>
      </w:r>
    </w:p>
    <w:p w14:paraId="457C6E79">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24"/>
          <w:lang w:eastAsia="zh-CN"/>
        </w:rPr>
        <w:t>（三）负责园区内政府投资的基础设施建设和维护工作；</w:t>
      </w:r>
    </w:p>
    <w:p w14:paraId="00F9E175">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24"/>
          <w:lang w:eastAsia="zh-CN"/>
        </w:rPr>
        <w:t>（四）负责市中心城区餐厨垃圾收集、运输处置统筹协调、监督、考核等事务性工作；</w:t>
      </w:r>
    </w:p>
    <w:p w14:paraId="6B0B0522">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24"/>
          <w:lang w:eastAsia="zh-CN"/>
        </w:rPr>
        <w:t>（五）负责罗家坳生活垃圾填埋场的日常管理；</w:t>
      </w:r>
    </w:p>
    <w:p w14:paraId="4768B0C9">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24"/>
          <w:lang w:eastAsia="zh-CN"/>
        </w:rPr>
        <w:t>（六）完成市城市管理和综合执法局交办的其他事项。</w:t>
      </w:r>
    </w:p>
    <w:p w14:paraId="0D1CB98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25856F6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CESI仿宋-GB2312" w:hAnsi="CESI仿宋-GB2312" w:eastAsia="CESI仿宋-GB2312" w:cs="CESI仿宋-GB2312"/>
        </w:rPr>
      </w:pPr>
      <w:r>
        <w:rPr>
          <w:rFonts w:hint="eastAsia" w:ascii="CESI仿宋-GB2312" w:hAnsi="CESI仿宋-GB2312" w:eastAsia="CESI仿宋-GB2312" w:cs="CESI仿宋-GB2312"/>
          <w:bCs/>
          <w:kern w:val="0"/>
          <w:sz w:val="32"/>
          <w:szCs w:val="32"/>
        </w:rPr>
        <w:t>（一）内设机构设置。</w:t>
      </w:r>
      <w:r>
        <w:rPr>
          <w:rFonts w:hint="eastAsia" w:ascii="CESI仿宋-GB2312" w:hAnsi="CESI仿宋-GB2312" w:eastAsia="CESI仿宋-GB2312" w:cs="CESI仿宋-GB2312"/>
          <w:b w:val="0"/>
          <w:bCs w:val="0"/>
          <w:sz w:val="32"/>
          <w:szCs w:val="32"/>
        </w:rPr>
        <w:t>岳阳市固体废物处置服务中心</w:t>
      </w:r>
      <w:r>
        <w:rPr>
          <w:rFonts w:hint="eastAsia" w:ascii="CESI仿宋-GB2312" w:hAnsi="CESI仿宋-GB2312" w:eastAsia="CESI仿宋-GB2312" w:cs="CESI仿宋-GB2312"/>
          <w:bCs/>
          <w:kern w:val="0"/>
          <w:sz w:val="32"/>
          <w:szCs w:val="32"/>
        </w:rPr>
        <w:t>内设机构包括：</w:t>
      </w:r>
      <w:r>
        <w:rPr>
          <w:rFonts w:hint="eastAsia" w:ascii="CESI仿宋-GB2312" w:hAnsi="CESI仿宋-GB2312" w:eastAsia="CESI仿宋-GB2312" w:cs="CESI仿宋-GB2312"/>
          <w:sz w:val="32"/>
          <w:szCs w:val="24"/>
          <w:lang w:val="en-US" w:eastAsia="zh-CN"/>
        </w:rPr>
        <w:t>综合部、园区服务部、固体废物服务部三个职能部室。</w:t>
      </w:r>
    </w:p>
    <w:p w14:paraId="29B7AA9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CESI仿宋-GB2312" w:hAnsi="CESI仿宋-GB2312" w:eastAsia="CESI仿宋-GB2312" w:cs="CESI仿宋-GB2312"/>
          <w:bCs/>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r>
        <w:rPr>
          <w:rFonts w:hint="eastAsia" w:ascii="CESI仿宋-GB2312" w:hAnsi="CESI仿宋-GB2312" w:eastAsia="CESI仿宋-GB2312" w:cs="CESI仿宋-GB2312"/>
          <w:bCs/>
          <w:kern w:val="0"/>
          <w:sz w:val="32"/>
          <w:szCs w:val="32"/>
        </w:rPr>
        <w:t>（二）决算单位构成。</w:t>
      </w:r>
      <w:r>
        <w:rPr>
          <w:rFonts w:hint="eastAsia" w:ascii="CESI仿宋-GB2312" w:hAnsi="CESI仿宋-GB2312" w:eastAsia="CESI仿宋-GB2312" w:cs="CESI仿宋-GB2312"/>
          <w:bCs/>
          <w:kern w:val="0"/>
          <w:sz w:val="32"/>
          <w:szCs w:val="32"/>
          <w:lang w:eastAsia="zh-CN"/>
        </w:rPr>
        <w:t>本单位无独立核算的下属单位，</w:t>
      </w:r>
      <w:r>
        <w:rPr>
          <w:rFonts w:hint="eastAsia" w:ascii="CESI仿宋-GB2312" w:hAnsi="CESI仿宋-GB2312" w:eastAsia="CESI仿宋-GB2312" w:cs="CESI仿宋-GB2312"/>
          <w:bCs/>
          <w:kern w:val="0"/>
          <w:sz w:val="32"/>
          <w:szCs w:val="32"/>
          <w:lang w:val="en-US" w:eastAsia="zh-CN"/>
        </w:rPr>
        <w:t>2025年度部门决算汇总公开单位仅包括</w:t>
      </w:r>
      <w:r>
        <w:rPr>
          <w:rFonts w:hint="eastAsia" w:ascii="CESI仿宋-GB2312" w:hAnsi="CESI仿宋-GB2312" w:eastAsia="CESI仿宋-GB2312" w:cs="CESI仿宋-GB2312"/>
          <w:bCs/>
          <w:kern w:val="0"/>
          <w:sz w:val="32"/>
          <w:szCs w:val="32"/>
        </w:rPr>
        <w:t>岳阳市固体废物处置服务中心</w:t>
      </w:r>
      <w:r>
        <w:rPr>
          <w:rFonts w:hint="eastAsia" w:ascii="CESI仿宋-GB2312" w:hAnsi="CESI仿宋-GB2312" w:eastAsia="CESI仿宋-GB2312" w:cs="CESI仿宋-GB2312"/>
          <w:bCs/>
          <w:kern w:val="0"/>
          <w:sz w:val="32"/>
          <w:szCs w:val="32"/>
          <w:lang w:val="en-US" w:eastAsia="zh-CN"/>
        </w:rPr>
        <w:t>本级。</w:t>
      </w:r>
    </w:p>
    <w:p w14:paraId="3C2709B8"/>
    <w:p w14:paraId="1E93E514">
      <w:pPr>
        <w:pStyle w:val="2"/>
      </w:pPr>
    </w:p>
    <w:p w14:paraId="7A83582C">
      <w:pPr>
        <w:pStyle w:val="3"/>
      </w:pPr>
    </w:p>
    <w:p w14:paraId="1C4544DC">
      <w:pPr>
        <w:pStyle w:val="14"/>
        <w:jc w:val="both"/>
        <w:rPr>
          <w:rFonts w:hint="eastAsia" w:ascii="方正小标宋_GBK" w:hAnsi="方正小标宋_GBK" w:eastAsia="方正小标宋_GBK" w:cs="方正小标宋_GBK"/>
          <w:sz w:val="32"/>
          <w:szCs w:val="32"/>
        </w:rPr>
      </w:pPr>
    </w:p>
    <w:p w14:paraId="7F22D463">
      <w:pPr>
        <w:pStyle w:val="14"/>
        <w:jc w:val="both"/>
        <w:rPr>
          <w:rFonts w:hint="eastAsia" w:ascii="方正小标宋_GBK" w:hAnsi="方正小标宋_GBK" w:eastAsia="方正小标宋_GBK" w:cs="方正小标宋_GBK"/>
          <w:sz w:val="32"/>
          <w:szCs w:val="32"/>
        </w:rPr>
      </w:pPr>
    </w:p>
    <w:p w14:paraId="5225E562">
      <w:pPr>
        <w:pStyle w:val="14"/>
        <w:jc w:val="both"/>
        <w:rPr>
          <w:rFonts w:hint="eastAsia" w:ascii="方正小标宋_GBK" w:hAnsi="方正小标宋_GBK" w:eastAsia="方正小标宋_GBK" w:cs="方正小标宋_GBK"/>
          <w:sz w:val="32"/>
          <w:szCs w:val="32"/>
        </w:rPr>
      </w:pPr>
    </w:p>
    <w:p w14:paraId="5AFFAEE4">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029229ED">
      <w:pPr>
        <w:pStyle w:val="14"/>
        <w:jc w:val="center"/>
        <w:rPr>
          <w:rFonts w:hint="eastAsia" w:ascii="方正小标宋_GBK" w:hAnsi="方正小标宋_GBK" w:eastAsia="方正小标宋_GBK" w:cs="方正小标宋_GBK"/>
          <w:sz w:val="84"/>
          <w:szCs w:val="84"/>
        </w:rPr>
      </w:pPr>
    </w:p>
    <w:p w14:paraId="04884242">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00A600FF">
      <w:pPr>
        <w:pStyle w:val="14"/>
        <w:jc w:val="center"/>
        <w:rPr>
          <w:rFonts w:hint="eastAsia" w:ascii="仿宋_GB2312" w:hAnsi="仿宋_GB2312" w:eastAsia="仿宋_GB2312" w:cs="仿宋_GB2312"/>
          <w:b w:val="0"/>
          <w:bCs w:val="0"/>
          <w:sz w:val="48"/>
          <w:szCs w:val="48"/>
          <w:lang w:eastAsia="zh-CN"/>
        </w:rPr>
      </w:pPr>
      <w:r>
        <w:rPr>
          <w:rFonts w:hint="eastAsia" w:ascii="仿宋_GB2312" w:hAnsi="仿宋_GB2312" w:eastAsia="仿宋_GB2312" w:cs="仿宋_GB2312"/>
          <w:b w:val="0"/>
          <w:bCs w:val="0"/>
          <w:sz w:val="72"/>
          <w:szCs w:val="72"/>
          <w:lang w:eastAsia="zh-CN"/>
        </w:rPr>
        <w:t>（见附件）</w:t>
      </w:r>
    </w:p>
    <w:p w14:paraId="7DCB19B2">
      <w:pPr>
        <w:rPr>
          <w:rFonts w:hint="eastAsia" w:ascii="仿宋_GB2312" w:hAnsi="仿宋_GB2312" w:eastAsia="仿宋_GB2312" w:cs="仿宋_GB2312"/>
          <w:b w:val="0"/>
          <w:bCs w:val="0"/>
          <w:sz w:val="72"/>
          <w:szCs w:val="72"/>
          <w:lang w:eastAsia="zh-CN"/>
        </w:rPr>
      </w:pPr>
    </w:p>
    <w:p w14:paraId="6B21D0CD">
      <w:pPr>
        <w:pStyle w:val="2"/>
        <w:rPr>
          <w:rFonts w:hint="eastAsia"/>
          <w:lang w:eastAsia="zh-CN"/>
        </w:rPr>
      </w:pPr>
    </w:p>
    <w:p w14:paraId="62C7FA23">
      <w:pPr>
        <w:pStyle w:val="3"/>
        <w:rPr>
          <w:rFonts w:hint="eastAsia"/>
          <w:lang w:eastAsia="zh-CN"/>
        </w:rPr>
      </w:pPr>
    </w:p>
    <w:p w14:paraId="2984CD22">
      <w:pPr>
        <w:rPr>
          <w:rFonts w:hint="eastAsia"/>
          <w:lang w:eastAsia="zh-CN"/>
        </w:rPr>
      </w:pPr>
    </w:p>
    <w:p w14:paraId="169A74D2">
      <w:pPr>
        <w:pStyle w:val="2"/>
        <w:rPr>
          <w:rFonts w:hint="eastAsia"/>
          <w:lang w:eastAsia="zh-CN"/>
        </w:rPr>
      </w:pPr>
    </w:p>
    <w:p w14:paraId="4F0FF8EF">
      <w:pPr>
        <w:pStyle w:val="14"/>
        <w:ind w:firstLine="4320" w:firstLineChars="900"/>
        <w:jc w:val="both"/>
        <w:rPr>
          <w:rFonts w:hint="eastAsia" w:ascii="方正小标宋_GBK" w:hAnsi="方正小标宋_GBK" w:eastAsia="方正小标宋_GBK" w:cs="方正小标宋_GBK"/>
          <w:sz w:val="48"/>
          <w:szCs w:val="48"/>
        </w:rPr>
      </w:pPr>
    </w:p>
    <w:p w14:paraId="2B08CEE8">
      <w:pPr>
        <w:pStyle w:val="14"/>
        <w:ind w:firstLine="4320" w:firstLineChars="900"/>
        <w:jc w:val="both"/>
        <w:rPr>
          <w:rFonts w:hint="eastAsia" w:ascii="方正小标宋_GBK" w:hAnsi="方正小标宋_GBK" w:eastAsia="方正小标宋_GBK" w:cs="方正小标宋_GBK"/>
          <w:sz w:val="48"/>
          <w:szCs w:val="48"/>
        </w:rPr>
      </w:pPr>
    </w:p>
    <w:p w14:paraId="38904A13">
      <w:pPr>
        <w:pStyle w:val="14"/>
        <w:ind w:firstLine="4320" w:firstLineChars="900"/>
        <w:jc w:val="both"/>
        <w:rPr>
          <w:rFonts w:hint="eastAsia" w:ascii="方正小标宋_GBK" w:hAnsi="方正小标宋_GBK" w:eastAsia="方正小标宋_GBK" w:cs="方正小标宋_GBK"/>
          <w:sz w:val="48"/>
          <w:szCs w:val="48"/>
        </w:rPr>
      </w:pPr>
    </w:p>
    <w:p w14:paraId="60232529">
      <w:pPr>
        <w:pStyle w:val="14"/>
        <w:ind w:firstLine="4320" w:firstLineChars="900"/>
        <w:jc w:val="both"/>
        <w:rPr>
          <w:rFonts w:hint="eastAsia" w:ascii="方正小标宋_GBK" w:hAnsi="方正小标宋_GBK" w:eastAsia="方正小标宋_GBK" w:cs="方正小标宋_GBK"/>
          <w:sz w:val="48"/>
          <w:szCs w:val="48"/>
        </w:rPr>
      </w:pPr>
    </w:p>
    <w:p w14:paraId="22576B38">
      <w:pPr>
        <w:pStyle w:val="14"/>
        <w:jc w:val="center"/>
        <w:rPr>
          <w:rFonts w:hint="eastAsia" w:ascii="方正小标宋_GBK" w:hAnsi="方正小标宋_GBK" w:eastAsia="方正小标宋_GBK" w:cs="方正小标宋_GBK"/>
          <w:sz w:val="72"/>
          <w:szCs w:val="72"/>
        </w:rPr>
      </w:pPr>
    </w:p>
    <w:p w14:paraId="2C6EFAF7">
      <w:pPr>
        <w:pStyle w:val="14"/>
        <w:jc w:val="center"/>
        <w:rPr>
          <w:rFonts w:hint="eastAsia" w:ascii="方正小标宋_GBK" w:hAnsi="方正小标宋_GBK" w:eastAsia="方正小标宋_GBK" w:cs="方正小标宋_GBK"/>
          <w:sz w:val="72"/>
          <w:szCs w:val="72"/>
        </w:rPr>
      </w:pPr>
    </w:p>
    <w:p w14:paraId="0AEF1FA4">
      <w:pPr>
        <w:pStyle w:val="14"/>
        <w:jc w:val="center"/>
        <w:rPr>
          <w:rFonts w:hint="eastAsia" w:ascii="方正小标宋_GBK" w:hAnsi="方正小标宋_GBK" w:eastAsia="方正小标宋_GBK" w:cs="方正小标宋_GBK"/>
          <w:sz w:val="72"/>
          <w:szCs w:val="72"/>
        </w:rPr>
      </w:pPr>
    </w:p>
    <w:p w14:paraId="05576D09">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5FB3E84C">
      <w:pPr>
        <w:pStyle w:val="14"/>
        <w:jc w:val="center"/>
        <w:rPr>
          <w:rFonts w:hint="eastAsia" w:ascii="方正小标宋_GBK" w:hAnsi="方正小标宋_GBK" w:eastAsia="方正小标宋_GBK" w:cs="方正小标宋_GBK"/>
          <w:sz w:val="72"/>
          <w:szCs w:val="72"/>
        </w:rPr>
      </w:pPr>
    </w:p>
    <w:p w14:paraId="7AAA143B">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eastAsia="zh-CN"/>
        </w:rPr>
        <w:t>2025年</w:t>
      </w:r>
      <w:r>
        <w:rPr>
          <w:rFonts w:hint="eastAsia" w:ascii="方正小标宋_GBK" w:hAnsi="方正小标宋_GBK" w:eastAsia="方正小标宋_GBK" w:cs="方正小标宋_GBK"/>
          <w:sz w:val="72"/>
          <w:szCs w:val="72"/>
        </w:rPr>
        <w:t>度部门决算情况说明</w:t>
      </w:r>
    </w:p>
    <w:p w14:paraId="494F3E6F">
      <w:pPr>
        <w:pStyle w:val="14"/>
        <w:jc w:val="center"/>
        <w:rPr>
          <w:rFonts w:hint="eastAsia" w:ascii="方正小标宋_GBK" w:hAnsi="方正小标宋_GBK" w:eastAsia="方正小标宋_GBK" w:cs="方正小标宋_GBK"/>
          <w:sz w:val="72"/>
          <w:szCs w:val="72"/>
        </w:rPr>
      </w:pPr>
    </w:p>
    <w:p w14:paraId="0AD18F94">
      <w:pPr>
        <w:pStyle w:val="14"/>
        <w:jc w:val="center"/>
        <w:rPr>
          <w:rFonts w:hint="eastAsia" w:ascii="方正小标宋_GBK" w:hAnsi="方正小标宋_GBK" w:eastAsia="方正小标宋_GBK" w:cs="方正小标宋_GBK"/>
          <w:sz w:val="72"/>
          <w:szCs w:val="72"/>
        </w:rPr>
      </w:pPr>
    </w:p>
    <w:p w14:paraId="08C5FCEE">
      <w:pPr>
        <w:pStyle w:val="14"/>
        <w:jc w:val="center"/>
        <w:rPr>
          <w:rFonts w:hint="eastAsia" w:ascii="方正小标宋_GBK" w:hAnsi="方正小标宋_GBK" w:eastAsia="方正小标宋_GBK" w:cs="方正小标宋_GBK"/>
          <w:sz w:val="72"/>
          <w:szCs w:val="72"/>
        </w:rPr>
      </w:pPr>
    </w:p>
    <w:p w14:paraId="1D260911">
      <w:pPr>
        <w:pStyle w:val="14"/>
        <w:jc w:val="center"/>
        <w:rPr>
          <w:rFonts w:hint="eastAsia" w:ascii="方正小标宋_GBK" w:hAnsi="方正小标宋_GBK" w:eastAsia="方正小标宋_GBK" w:cs="方正小标宋_GBK"/>
          <w:sz w:val="72"/>
          <w:szCs w:val="72"/>
        </w:rPr>
      </w:pPr>
    </w:p>
    <w:p w14:paraId="028FDA26">
      <w:pPr>
        <w:pStyle w:val="14"/>
        <w:jc w:val="center"/>
        <w:rPr>
          <w:rFonts w:hint="eastAsia" w:ascii="方正小标宋_GBK" w:hAnsi="方正小标宋_GBK" w:eastAsia="方正小标宋_GBK" w:cs="方正小标宋_GBK"/>
          <w:sz w:val="72"/>
          <w:szCs w:val="72"/>
        </w:rPr>
      </w:pPr>
    </w:p>
    <w:p w14:paraId="71540ACC">
      <w:pPr>
        <w:keepNext w:val="0"/>
        <w:keepLines w:val="0"/>
        <w:pageBreakBefore w:val="0"/>
        <w:widowControl/>
        <w:kinsoku/>
        <w:wordWrap/>
        <w:topLinePunct w:val="0"/>
        <w:bidi w:val="0"/>
        <w:spacing w:line="600" w:lineRule="exact"/>
        <w:jc w:val="left"/>
        <w:textAlignment w:val="auto"/>
        <w:rPr>
          <w:rFonts w:hint="eastAsia" w:ascii="CESI仿宋-GB2312" w:hAnsi="CESI仿宋-GB2312" w:eastAsia="CESI仿宋-GB2312" w:cs="CESI仿宋-GB2312"/>
          <w:sz w:val="32"/>
          <w:szCs w:val="32"/>
        </w:rPr>
      </w:pPr>
      <w:bookmarkStart w:id="0" w:name="_GoBack"/>
      <w:bookmarkEnd w:id="0"/>
    </w:p>
    <w:p w14:paraId="763C7B76">
      <w:pPr>
        <w:keepNext w:val="0"/>
        <w:keepLines w:val="0"/>
        <w:pageBreakBefore w:val="0"/>
        <w:widowControl/>
        <w:kinsoku/>
        <w:wordWrap/>
        <w:topLinePunct w:val="0"/>
        <w:bidi w:val="0"/>
        <w:spacing w:line="600" w:lineRule="exact"/>
        <w:ind w:firstLine="640" w:firstLineChars="200"/>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说明：</w:t>
      </w:r>
      <w:r>
        <w:rPr>
          <w:rFonts w:hint="eastAsia" w:ascii="CESI仿宋-GB2312" w:hAnsi="CESI仿宋-GB2312" w:eastAsia="CESI仿宋-GB2312" w:cs="CESI仿宋-GB2312"/>
          <w:sz w:val="32"/>
          <w:szCs w:val="32"/>
          <w:lang w:val="en-US" w:eastAsia="zh-CN"/>
        </w:rPr>
        <w:t>1、</w:t>
      </w:r>
      <w:r>
        <w:rPr>
          <w:rFonts w:hint="eastAsia" w:ascii="CESI仿宋-GB2312" w:hAnsi="CESI仿宋-GB2312" w:eastAsia="CESI仿宋-GB2312" w:cs="CESI仿宋-GB2312"/>
          <w:sz w:val="32"/>
          <w:szCs w:val="32"/>
        </w:rPr>
        <w:t>由于</w:t>
      </w:r>
      <w:r>
        <w:rPr>
          <w:rFonts w:hint="eastAsia" w:ascii="CESI仿宋-GB2312" w:hAnsi="CESI仿宋-GB2312" w:eastAsia="CESI仿宋-GB2312" w:cs="CESI仿宋-GB2312"/>
          <w:sz w:val="32"/>
          <w:szCs w:val="32"/>
          <w:lang w:eastAsia="zh-CN"/>
        </w:rPr>
        <w:t>部门</w:t>
      </w:r>
      <w:r>
        <w:rPr>
          <w:rFonts w:hint="eastAsia" w:ascii="CESI仿宋-GB2312" w:hAnsi="CESI仿宋-GB2312" w:eastAsia="CESI仿宋-GB2312" w:cs="CESI仿宋-GB2312"/>
          <w:sz w:val="32"/>
          <w:szCs w:val="32"/>
        </w:rPr>
        <w:t>决算编制时</w:t>
      </w:r>
      <w:r>
        <w:rPr>
          <w:rFonts w:hint="eastAsia" w:ascii="CESI仿宋-GB2312" w:hAnsi="CESI仿宋-GB2312" w:eastAsia="CESI仿宋-GB2312" w:cs="CESI仿宋-GB2312"/>
          <w:sz w:val="32"/>
          <w:szCs w:val="32"/>
          <w:lang w:eastAsia="zh-CN"/>
        </w:rPr>
        <w:t>数据</w:t>
      </w:r>
      <w:r>
        <w:rPr>
          <w:rFonts w:hint="eastAsia" w:ascii="CESI仿宋-GB2312" w:hAnsi="CESI仿宋-GB2312" w:eastAsia="CESI仿宋-GB2312" w:cs="CESI仿宋-GB2312"/>
          <w:sz w:val="32"/>
          <w:szCs w:val="32"/>
        </w:rPr>
        <w:t>明细</w:t>
      </w:r>
      <w:r>
        <w:rPr>
          <w:rFonts w:hint="eastAsia" w:ascii="CESI仿宋-GB2312" w:hAnsi="CESI仿宋-GB2312" w:eastAsia="CESI仿宋-GB2312" w:cs="CESI仿宋-GB2312"/>
          <w:sz w:val="32"/>
          <w:szCs w:val="32"/>
          <w:lang w:eastAsia="zh-CN"/>
        </w:rPr>
        <w:t>至“金额单位：元</w:t>
      </w:r>
      <w:r>
        <w:rPr>
          <w:rFonts w:hint="eastAsia" w:ascii="CESI仿宋-GB2312" w:hAnsi="CESI仿宋-GB2312" w:eastAsia="CESI仿宋-GB2312" w:cs="CESI仿宋-GB2312"/>
          <w:sz w:val="32"/>
          <w:szCs w:val="32"/>
        </w:rPr>
        <w:t>”，而</w:t>
      </w:r>
      <w:r>
        <w:rPr>
          <w:rFonts w:hint="eastAsia" w:ascii="CESI仿宋-GB2312" w:hAnsi="CESI仿宋-GB2312" w:eastAsia="CESI仿宋-GB2312" w:cs="CESI仿宋-GB2312"/>
          <w:sz w:val="32"/>
          <w:szCs w:val="32"/>
          <w:lang w:eastAsia="zh-CN"/>
        </w:rPr>
        <w:t>本套部门决算文字说明</w:t>
      </w:r>
      <w:r>
        <w:rPr>
          <w:rFonts w:hint="eastAsia" w:ascii="CESI仿宋-GB2312" w:hAnsi="CESI仿宋-GB2312" w:eastAsia="CESI仿宋-GB2312" w:cs="CESI仿宋-GB2312"/>
          <w:sz w:val="32"/>
          <w:szCs w:val="32"/>
        </w:rPr>
        <w:t>和公开表格</w:t>
      </w:r>
      <w:r>
        <w:rPr>
          <w:rFonts w:hint="eastAsia" w:ascii="CESI仿宋-GB2312" w:hAnsi="CESI仿宋-GB2312" w:eastAsia="CESI仿宋-GB2312" w:cs="CESI仿宋-GB2312"/>
          <w:sz w:val="32"/>
          <w:szCs w:val="32"/>
          <w:lang w:eastAsia="zh-CN"/>
        </w:rPr>
        <w:t>数据</w:t>
      </w:r>
      <w:r>
        <w:rPr>
          <w:rFonts w:hint="eastAsia" w:ascii="CESI仿宋-GB2312" w:hAnsi="CESI仿宋-GB2312" w:eastAsia="CESI仿宋-GB2312" w:cs="CESI仿宋-GB2312"/>
          <w:sz w:val="32"/>
          <w:szCs w:val="32"/>
        </w:rPr>
        <w:t>取数</w:t>
      </w:r>
      <w:r>
        <w:rPr>
          <w:rFonts w:hint="eastAsia" w:ascii="CESI仿宋-GB2312" w:hAnsi="CESI仿宋-GB2312" w:eastAsia="CESI仿宋-GB2312" w:cs="CESI仿宋-GB2312"/>
          <w:sz w:val="32"/>
          <w:szCs w:val="32"/>
          <w:lang w:eastAsia="zh-CN"/>
        </w:rPr>
        <w:t>转换为</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金额单位：</w:t>
      </w:r>
      <w:r>
        <w:rPr>
          <w:rFonts w:hint="eastAsia" w:ascii="CESI仿宋-GB2312" w:hAnsi="CESI仿宋-GB2312" w:eastAsia="CESI仿宋-GB2312" w:cs="CESI仿宋-GB2312"/>
          <w:sz w:val="32"/>
          <w:szCs w:val="32"/>
        </w:rPr>
        <w:t>万元”，可能导致</w:t>
      </w:r>
      <w:r>
        <w:rPr>
          <w:rFonts w:hint="eastAsia" w:ascii="CESI仿宋-GB2312" w:hAnsi="CESI仿宋-GB2312" w:eastAsia="CESI仿宋-GB2312" w:cs="CESI仿宋-GB2312"/>
          <w:sz w:val="32"/>
          <w:szCs w:val="32"/>
          <w:lang w:eastAsia="zh-CN"/>
        </w:rPr>
        <w:t>以下文字说明中的各项数据取数以及公开</w:t>
      </w:r>
      <w:r>
        <w:rPr>
          <w:rFonts w:hint="eastAsia" w:ascii="CESI仿宋-GB2312" w:hAnsi="CESI仿宋-GB2312" w:eastAsia="CESI仿宋-GB2312" w:cs="CESI仿宋-GB2312"/>
          <w:sz w:val="32"/>
          <w:szCs w:val="32"/>
        </w:rPr>
        <w:t>表格</w:t>
      </w:r>
      <w:r>
        <w:rPr>
          <w:rFonts w:hint="eastAsia" w:ascii="CESI仿宋-GB2312" w:hAnsi="CESI仿宋-GB2312" w:eastAsia="CESI仿宋-GB2312" w:cs="CESI仿宋-GB2312"/>
          <w:sz w:val="32"/>
          <w:szCs w:val="32"/>
          <w:lang w:eastAsia="zh-CN"/>
        </w:rPr>
        <w:t>中的各项数据取数之间存在</w:t>
      </w:r>
      <w:r>
        <w:rPr>
          <w:rFonts w:hint="eastAsia" w:ascii="CESI仿宋-GB2312" w:hAnsi="CESI仿宋-GB2312" w:eastAsia="CESI仿宋-GB2312" w:cs="CESI仿宋-GB2312"/>
          <w:sz w:val="32"/>
          <w:szCs w:val="32"/>
        </w:rPr>
        <w:t>0.01的尾数差异。</w:t>
      </w:r>
      <w:r>
        <w:rPr>
          <w:rFonts w:hint="eastAsia" w:ascii="CESI仿宋-GB2312" w:hAnsi="CESI仿宋-GB2312" w:eastAsia="CESI仿宋-GB2312" w:cs="CESI仿宋-GB2312"/>
          <w:sz w:val="32"/>
          <w:szCs w:val="32"/>
          <w:lang w:val="en-US" w:eastAsia="zh-CN"/>
        </w:rPr>
        <w:t>2、以下文字说明中，部分科目由于预算数为0，无法计算完成年初预算的百分比，故未描述“</w:t>
      </w:r>
      <w:r>
        <w:rPr>
          <w:rFonts w:hint="eastAsia" w:ascii="CESI仿宋-GB2312" w:hAnsi="CESI仿宋-GB2312" w:eastAsia="CESI仿宋-GB2312" w:cs="CESI仿宋-GB2312"/>
          <w:sz w:val="32"/>
          <w:szCs w:val="32"/>
        </w:rPr>
        <w:t>完成年初预算的XX%</w:t>
      </w:r>
      <w:r>
        <w:rPr>
          <w:rFonts w:hint="eastAsia" w:ascii="CESI仿宋-GB2312" w:hAnsi="CESI仿宋-GB2312" w:eastAsia="CESI仿宋-GB2312" w:cs="CESI仿宋-GB2312"/>
          <w:sz w:val="32"/>
          <w:szCs w:val="32"/>
          <w:lang w:val="en-US" w:eastAsia="zh-CN"/>
        </w:rPr>
        <w:t>”。</w:t>
      </w:r>
      <w:r>
        <w:rPr>
          <w:rFonts w:hint="eastAsia" w:ascii="CESI仿宋-GB2312" w:hAnsi="CESI仿宋-GB2312" w:eastAsia="CESI仿宋-GB2312" w:cs="CESI仿宋-GB2312"/>
          <w:sz w:val="32"/>
          <w:szCs w:val="32"/>
        </w:rPr>
        <w:t>）</w:t>
      </w:r>
    </w:p>
    <w:p w14:paraId="41B22179">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48F2EC5E">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年度收、支总计</w:t>
      </w:r>
      <w:r>
        <w:rPr>
          <w:rFonts w:hint="eastAsia" w:ascii="CESI仿宋-GB2312" w:hAnsi="CESI仿宋-GB2312" w:eastAsia="CESI仿宋-GB2312" w:cs="CESI仿宋-GB2312"/>
          <w:sz w:val="32"/>
          <w:szCs w:val="32"/>
          <w:lang w:val="en-US" w:eastAsia="zh-CN"/>
        </w:rPr>
        <w:t>637.11</w:t>
      </w:r>
      <w:r>
        <w:rPr>
          <w:rFonts w:hint="eastAsia" w:ascii="CESI仿宋-GB2312" w:hAnsi="CESI仿宋-GB2312" w:eastAsia="CESI仿宋-GB2312" w:cs="CESI仿宋-GB2312"/>
          <w:sz w:val="32"/>
          <w:szCs w:val="32"/>
        </w:rPr>
        <w:t>万元。与上年相比，减少</w:t>
      </w:r>
      <w:r>
        <w:rPr>
          <w:rFonts w:hint="eastAsia" w:ascii="CESI仿宋-GB2312" w:hAnsi="CESI仿宋-GB2312" w:eastAsia="CESI仿宋-GB2312" w:cs="CESI仿宋-GB2312"/>
          <w:sz w:val="32"/>
          <w:szCs w:val="32"/>
          <w:lang w:val="en-US" w:eastAsia="zh-CN"/>
        </w:rPr>
        <w:t>4.85</w:t>
      </w:r>
      <w:r>
        <w:rPr>
          <w:rFonts w:hint="eastAsia" w:ascii="CESI仿宋-GB2312" w:hAnsi="CESI仿宋-GB2312" w:eastAsia="CESI仿宋-GB2312" w:cs="CESI仿宋-GB2312"/>
          <w:sz w:val="32"/>
          <w:szCs w:val="32"/>
        </w:rPr>
        <w:t>万元，降低</w:t>
      </w:r>
      <w:r>
        <w:rPr>
          <w:rFonts w:hint="eastAsia" w:ascii="CESI仿宋-GB2312" w:hAnsi="CESI仿宋-GB2312" w:eastAsia="CESI仿宋-GB2312" w:cs="CESI仿宋-GB2312"/>
          <w:sz w:val="32"/>
          <w:szCs w:val="32"/>
          <w:lang w:val="en-US" w:eastAsia="zh-CN"/>
        </w:rPr>
        <w:t>0.76</w:t>
      </w:r>
      <w:r>
        <w:rPr>
          <w:rFonts w:hint="eastAsia" w:ascii="CESI仿宋-GB2312" w:hAnsi="CESI仿宋-GB2312" w:eastAsia="CESI仿宋-GB2312" w:cs="CESI仿宋-GB2312"/>
          <w:sz w:val="32"/>
          <w:szCs w:val="32"/>
        </w:rPr>
        <w:t>%，主要是因为</w:t>
      </w:r>
      <w:r>
        <w:rPr>
          <w:rFonts w:hint="eastAsia" w:ascii="CESI仿宋-GB2312" w:hAnsi="CESI仿宋-GB2312" w:eastAsia="CESI仿宋-GB2312" w:cs="CESI仿宋-GB2312"/>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CESI仿宋-GB2312" w:hAnsi="CESI仿宋-GB2312" w:eastAsia="CESI仿宋-GB2312" w:cs="CESI仿宋-GB2312"/>
          <w:sz w:val="32"/>
          <w:szCs w:val="32"/>
          <w:lang w:val="en-US" w:eastAsia="zh-CN"/>
        </w:rPr>
        <w:t>罗家坳填埋场内、静脉产业园区运维及渗滤液外运处置</w:t>
      </w:r>
      <w:r>
        <w:rPr>
          <w:rFonts w:hint="eastAsia" w:ascii="CESI仿宋-GB2312" w:hAnsi="CESI仿宋-GB2312" w:eastAsia="CESI仿宋-GB2312" w:cs="CESI仿宋-GB2312"/>
          <w:sz w:val="32"/>
          <w:szCs w:val="32"/>
          <w:lang w:eastAsia="zh-CN"/>
        </w:rPr>
        <w:t>等重点支出，体现在有关支出科目中。</w:t>
      </w:r>
    </w:p>
    <w:p w14:paraId="0B282AD9">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10563A13">
      <w:pPr>
        <w:pStyle w:val="14"/>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年度收入合计</w:t>
      </w:r>
      <w:r>
        <w:rPr>
          <w:rFonts w:hint="eastAsia" w:ascii="CESI仿宋-GB2312" w:hAnsi="CESI仿宋-GB2312" w:eastAsia="CESI仿宋-GB2312" w:cs="CESI仿宋-GB2312"/>
          <w:sz w:val="32"/>
          <w:szCs w:val="32"/>
          <w:lang w:val="en-US" w:eastAsia="zh-CN"/>
        </w:rPr>
        <w:t>637.11</w:t>
      </w:r>
      <w:r>
        <w:rPr>
          <w:rFonts w:hint="eastAsia" w:ascii="CESI仿宋-GB2312" w:hAnsi="CESI仿宋-GB2312" w:eastAsia="CESI仿宋-GB2312" w:cs="CESI仿宋-GB2312"/>
          <w:sz w:val="32"/>
          <w:szCs w:val="32"/>
        </w:rPr>
        <w:t>万元，其中：财政拨款收入</w:t>
      </w:r>
      <w:r>
        <w:rPr>
          <w:rFonts w:hint="eastAsia" w:ascii="CESI仿宋-GB2312" w:hAnsi="CESI仿宋-GB2312" w:eastAsia="CESI仿宋-GB2312" w:cs="CESI仿宋-GB2312"/>
          <w:sz w:val="32"/>
          <w:szCs w:val="32"/>
          <w:lang w:val="en-US" w:eastAsia="zh-CN"/>
        </w:rPr>
        <w:t>637.11</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%；上级补助收入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%；事业收入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%；经营收入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%；附属单位上缴收入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%；其他收入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w:t>
      </w:r>
    </w:p>
    <w:p w14:paraId="0D3E49B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6DAFBA6F">
      <w:pPr>
        <w:pStyle w:val="14"/>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年度支出合计</w:t>
      </w:r>
      <w:r>
        <w:rPr>
          <w:rFonts w:hint="eastAsia" w:ascii="CESI仿宋-GB2312" w:hAnsi="CESI仿宋-GB2312" w:eastAsia="CESI仿宋-GB2312" w:cs="CESI仿宋-GB2312"/>
          <w:sz w:val="32"/>
          <w:szCs w:val="32"/>
          <w:lang w:val="en-US" w:eastAsia="zh-CN"/>
        </w:rPr>
        <w:t>637.11</w:t>
      </w:r>
      <w:r>
        <w:rPr>
          <w:rFonts w:hint="eastAsia" w:ascii="CESI仿宋-GB2312" w:hAnsi="CESI仿宋-GB2312" w:eastAsia="CESI仿宋-GB2312" w:cs="CESI仿宋-GB2312"/>
          <w:sz w:val="32"/>
          <w:szCs w:val="32"/>
        </w:rPr>
        <w:t>万元，其中：基本支出</w:t>
      </w:r>
      <w:r>
        <w:rPr>
          <w:rFonts w:hint="eastAsia" w:ascii="CESI仿宋-GB2312" w:hAnsi="CESI仿宋-GB2312" w:eastAsia="CESI仿宋-GB2312" w:cs="CESI仿宋-GB2312"/>
          <w:sz w:val="32"/>
          <w:szCs w:val="32"/>
          <w:lang w:val="en-US" w:eastAsia="zh-CN"/>
        </w:rPr>
        <w:t>266.88</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41.89</w:t>
      </w:r>
      <w:r>
        <w:rPr>
          <w:rFonts w:hint="eastAsia" w:ascii="CESI仿宋-GB2312" w:hAnsi="CESI仿宋-GB2312" w:eastAsia="CESI仿宋-GB2312" w:cs="CESI仿宋-GB2312"/>
          <w:sz w:val="32"/>
          <w:szCs w:val="32"/>
        </w:rPr>
        <w:t>%；项目支出</w:t>
      </w:r>
      <w:r>
        <w:rPr>
          <w:rFonts w:hint="eastAsia" w:ascii="CESI仿宋-GB2312" w:hAnsi="CESI仿宋-GB2312" w:eastAsia="CESI仿宋-GB2312" w:cs="CESI仿宋-GB2312"/>
          <w:sz w:val="32"/>
          <w:szCs w:val="32"/>
          <w:lang w:val="en-US" w:eastAsia="zh-CN"/>
        </w:rPr>
        <w:t>370.23</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58.11</w:t>
      </w:r>
      <w:r>
        <w:rPr>
          <w:rFonts w:hint="eastAsia" w:ascii="CESI仿宋-GB2312" w:hAnsi="CESI仿宋-GB2312" w:eastAsia="CESI仿宋-GB2312" w:cs="CESI仿宋-GB2312"/>
          <w:sz w:val="32"/>
          <w:szCs w:val="32"/>
        </w:rPr>
        <w:t>%；上缴上级支出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%；经营支出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%；对附属单位补助支出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w:t>
      </w:r>
    </w:p>
    <w:p w14:paraId="50FC5E7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0E22F896">
      <w:pPr>
        <w:pStyle w:val="14"/>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 xml:space="preserve"> 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年度财政拨款收、支总计</w:t>
      </w:r>
      <w:r>
        <w:rPr>
          <w:rFonts w:hint="eastAsia" w:ascii="CESI仿宋-GB2312" w:hAnsi="CESI仿宋-GB2312" w:eastAsia="CESI仿宋-GB2312" w:cs="CESI仿宋-GB2312"/>
          <w:sz w:val="32"/>
          <w:szCs w:val="32"/>
          <w:lang w:val="en-US" w:eastAsia="zh-CN"/>
        </w:rPr>
        <w:t>637.11</w:t>
      </w:r>
      <w:r>
        <w:rPr>
          <w:rFonts w:hint="eastAsia" w:ascii="CESI仿宋-GB2312" w:hAnsi="CESI仿宋-GB2312" w:eastAsia="CESI仿宋-GB2312" w:cs="CESI仿宋-GB2312"/>
          <w:sz w:val="32"/>
          <w:szCs w:val="32"/>
        </w:rPr>
        <w:t>万元，与上年相比，减少</w:t>
      </w:r>
      <w:r>
        <w:rPr>
          <w:rFonts w:hint="eastAsia" w:ascii="CESI仿宋-GB2312" w:hAnsi="CESI仿宋-GB2312" w:eastAsia="CESI仿宋-GB2312" w:cs="CESI仿宋-GB2312"/>
          <w:sz w:val="32"/>
          <w:szCs w:val="32"/>
          <w:lang w:val="en-US" w:eastAsia="zh-CN"/>
        </w:rPr>
        <w:t>4.75</w:t>
      </w:r>
      <w:r>
        <w:rPr>
          <w:rFonts w:hint="eastAsia" w:ascii="CESI仿宋-GB2312" w:hAnsi="CESI仿宋-GB2312" w:eastAsia="CESI仿宋-GB2312" w:cs="CESI仿宋-GB2312"/>
          <w:sz w:val="32"/>
          <w:szCs w:val="32"/>
        </w:rPr>
        <w:t>万元,降低</w:t>
      </w:r>
      <w:r>
        <w:rPr>
          <w:rFonts w:hint="eastAsia" w:ascii="CESI仿宋-GB2312" w:hAnsi="CESI仿宋-GB2312" w:eastAsia="CESI仿宋-GB2312" w:cs="CESI仿宋-GB2312"/>
          <w:sz w:val="32"/>
          <w:szCs w:val="32"/>
          <w:lang w:val="en-US" w:eastAsia="zh-CN"/>
        </w:rPr>
        <w:t>0.74</w:t>
      </w:r>
      <w:r>
        <w:rPr>
          <w:rFonts w:hint="eastAsia" w:ascii="CESI仿宋-GB2312" w:hAnsi="CESI仿宋-GB2312" w:eastAsia="CESI仿宋-GB2312" w:cs="CESI仿宋-GB2312"/>
          <w:sz w:val="32"/>
          <w:szCs w:val="32"/>
        </w:rPr>
        <w:t>%，主要是因为</w:t>
      </w:r>
      <w:r>
        <w:rPr>
          <w:rFonts w:hint="eastAsia" w:ascii="CESI仿宋-GB2312" w:hAnsi="CESI仿宋-GB2312" w:eastAsia="CESI仿宋-GB2312" w:cs="CESI仿宋-GB2312"/>
          <w:sz w:val="32"/>
          <w:szCs w:val="32"/>
          <w:lang w:eastAsia="zh-CN"/>
        </w:rPr>
        <w:t>厉行节约办一切事业，严控一般性支出，进一步优化支出结构，持续压降“三公”经费、办公经费、会议培训等行政开支。</w:t>
      </w:r>
    </w:p>
    <w:p w14:paraId="71B45D3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25DF9E10">
      <w:pPr>
        <w:pStyle w:val="14"/>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CESI仿宋-GB2312" w:hAnsi="CESI仿宋-GB2312" w:eastAsia="CESI仿宋-GB2312" w:cs="CESI仿宋-GB2312"/>
          <w:b/>
          <w:sz w:val="32"/>
          <w:szCs w:val="32"/>
        </w:rPr>
      </w:pPr>
      <w:r>
        <w:rPr>
          <w:rFonts w:hint="eastAsia" w:ascii="CESI仿宋-GB2312" w:hAnsi="CESI仿宋-GB2312" w:eastAsia="CESI仿宋-GB2312" w:cs="CESI仿宋-GB2312"/>
          <w:b w:val="0"/>
          <w:bCs/>
          <w:sz w:val="32"/>
          <w:szCs w:val="32"/>
        </w:rPr>
        <w:t>（一）一般公共预算财政拨款支出决算总体情况</w:t>
      </w:r>
    </w:p>
    <w:p w14:paraId="091413E0">
      <w:pPr>
        <w:pStyle w:val="14"/>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年度财政拨款支出</w:t>
      </w:r>
      <w:r>
        <w:rPr>
          <w:rFonts w:hint="eastAsia" w:ascii="CESI仿宋-GB2312" w:hAnsi="CESI仿宋-GB2312" w:eastAsia="CESI仿宋-GB2312" w:cs="CESI仿宋-GB2312"/>
          <w:sz w:val="32"/>
          <w:szCs w:val="32"/>
          <w:lang w:val="en-US" w:eastAsia="zh-CN"/>
        </w:rPr>
        <w:t>637.11</w:t>
      </w:r>
      <w:r>
        <w:rPr>
          <w:rFonts w:hint="eastAsia" w:ascii="CESI仿宋-GB2312" w:hAnsi="CESI仿宋-GB2312" w:eastAsia="CESI仿宋-GB2312" w:cs="CESI仿宋-GB2312"/>
          <w:sz w:val="32"/>
          <w:szCs w:val="32"/>
        </w:rPr>
        <w:t>万元，占本年支出合计的</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%，与上年相比，财政拨款支出减少</w:t>
      </w:r>
      <w:r>
        <w:rPr>
          <w:rFonts w:hint="eastAsia" w:ascii="CESI仿宋-GB2312" w:hAnsi="CESI仿宋-GB2312" w:eastAsia="CESI仿宋-GB2312" w:cs="CESI仿宋-GB2312"/>
          <w:sz w:val="32"/>
          <w:szCs w:val="32"/>
          <w:lang w:val="en-US" w:eastAsia="zh-CN"/>
        </w:rPr>
        <w:t>4.75</w:t>
      </w:r>
      <w:r>
        <w:rPr>
          <w:rFonts w:hint="eastAsia" w:ascii="CESI仿宋-GB2312" w:hAnsi="CESI仿宋-GB2312" w:eastAsia="CESI仿宋-GB2312" w:cs="CESI仿宋-GB2312"/>
          <w:sz w:val="32"/>
          <w:szCs w:val="32"/>
        </w:rPr>
        <w:t>万元，降低</w:t>
      </w:r>
      <w:r>
        <w:rPr>
          <w:rFonts w:hint="eastAsia" w:ascii="CESI仿宋-GB2312" w:hAnsi="CESI仿宋-GB2312" w:eastAsia="CESI仿宋-GB2312" w:cs="CESI仿宋-GB2312"/>
          <w:sz w:val="32"/>
          <w:szCs w:val="32"/>
          <w:lang w:val="en-US" w:eastAsia="zh-CN"/>
        </w:rPr>
        <w:t>0.74</w:t>
      </w:r>
      <w:r>
        <w:rPr>
          <w:rFonts w:hint="eastAsia" w:ascii="CESI仿宋-GB2312" w:hAnsi="CESI仿宋-GB2312" w:eastAsia="CESI仿宋-GB2312" w:cs="CESI仿宋-GB2312"/>
          <w:sz w:val="32"/>
          <w:szCs w:val="32"/>
        </w:rPr>
        <w:t>%，主要是因为</w:t>
      </w:r>
      <w:r>
        <w:rPr>
          <w:rFonts w:hint="eastAsia" w:ascii="CESI仿宋-GB2312" w:hAnsi="CESI仿宋-GB2312" w:eastAsia="CESI仿宋-GB2312" w:cs="CESI仿宋-GB2312"/>
          <w:sz w:val="32"/>
          <w:szCs w:val="32"/>
          <w:lang w:eastAsia="zh-CN"/>
        </w:rPr>
        <w:t>厉行节约办一切事业，严控一般性支出，进一步优化支出结构，持续压降“三公”经费、办公经费、会议培训等行政开支。</w:t>
      </w:r>
    </w:p>
    <w:p w14:paraId="1A583218">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val="0"/>
          <w:bCs/>
          <w:sz w:val="32"/>
          <w:szCs w:val="32"/>
        </w:rPr>
        <w:t>（二）一般公共预算财政拨款支出决算结构情况</w:t>
      </w:r>
    </w:p>
    <w:p w14:paraId="25CCE5F9">
      <w:pPr>
        <w:pStyle w:val="14"/>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CESI仿宋-GB2312" w:hAnsi="CESI仿宋-GB2312" w:eastAsia="CESI仿宋-GB2312" w:cs="CESI仿宋-GB2312"/>
          <w:kern w:val="0"/>
          <w:sz w:val="32"/>
          <w:szCs w:val="32"/>
          <w:lang w:eastAsia="zh-CN"/>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度财政拨款支出</w:t>
      </w:r>
      <w:r>
        <w:rPr>
          <w:rFonts w:hint="eastAsia" w:ascii="CESI仿宋-GB2312" w:hAnsi="CESI仿宋-GB2312" w:eastAsia="CESI仿宋-GB2312" w:cs="CESI仿宋-GB2312"/>
          <w:sz w:val="32"/>
          <w:szCs w:val="32"/>
          <w:lang w:val="en-US" w:eastAsia="zh-CN"/>
        </w:rPr>
        <w:t>637.11</w:t>
      </w:r>
      <w:r>
        <w:rPr>
          <w:rFonts w:hint="eastAsia" w:ascii="CESI仿宋-GB2312" w:hAnsi="CESI仿宋-GB2312" w:eastAsia="CESI仿宋-GB2312" w:cs="CESI仿宋-GB2312"/>
          <w:sz w:val="32"/>
          <w:szCs w:val="32"/>
        </w:rPr>
        <w:t>万元，</w:t>
      </w:r>
      <w:r>
        <w:rPr>
          <w:rFonts w:hint="eastAsia" w:ascii="CESI仿宋-GB2312" w:hAnsi="CESI仿宋-GB2312" w:eastAsia="CESI仿宋-GB2312" w:cs="CESI仿宋-GB2312"/>
          <w:kern w:val="0"/>
          <w:sz w:val="32"/>
          <w:szCs w:val="32"/>
        </w:rPr>
        <w:t>主要用于以下方面：社会保障和就业（类）支出</w:t>
      </w:r>
      <w:r>
        <w:rPr>
          <w:rFonts w:hint="eastAsia" w:ascii="CESI仿宋-GB2312" w:hAnsi="CESI仿宋-GB2312" w:eastAsia="CESI仿宋-GB2312" w:cs="CESI仿宋-GB2312"/>
          <w:kern w:val="0"/>
          <w:sz w:val="32"/>
          <w:szCs w:val="32"/>
          <w:lang w:val="en-US" w:eastAsia="zh-CN"/>
        </w:rPr>
        <w:t>30.45</w:t>
      </w:r>
      <w:r>
        <w:rPr>
          <w:rFonts w:hint="eastAsia" w:ascii="CESI仿宋-GB2312" w:hAnsi="CESI仿宋-GB2312" w:eastAsia="CESI仿宋-GB2312" w:cs="CESI仿宋-GB2312"/>
          <w:kern w:val="0"/>
          <w:sz w:val="32"/>
          <w:szCs w:val="32"/>
        </w:rPr>
        <w:t>万元，占</w:t>
      </w:r>
      <w:r>
        <w:rPr>
          <w:rFonts w:hint="eastAsia" w:ascii="CESI仿宋-GB2312" w:hAnsi="CESI仿宋-GB2312" w:eastAsia="CESI仿宋-GB2312" w:cs="CESI仿宋-GB2312"/>
          <w:kern w:val="0"/>
          <w:sz w:val="32"/>
          <w:szCs w:val="32"/>
          <w:lang w:val="en-US" w:eastAsia="zh-CN"/>
        </w:rPr>
        <w:t>4.78</w:t>
      </w:r>
      <w:r>
        <w:rPr>
          <w:rFonts w:hint="eastAsia" w:ascii="CESI仿宋-GB2312" w:hAnsi="CESI仿宋-GB2312" w:eastAsia="CESI仿宋-GB2312" w:cs="CESI仿宋-GB2312"/>
          <w:kern w:val="0"/>
          <w:sz w:val="32"/>
          <w:szCs w:val="32"/>
        </w:rPr>
        <w:t>%</w:t>
      </w:r>
      <w:r>
        <w:rPr>
          <w:rFonts w:hint="eastAsia" w:ascii="CESI仿宋-GB2312" w:hAnsi="CESI仿宋-GB2312" w:eastAsia="CESI仿宋-GB2312" w:cs="CESI仿宋-GB2312"/>
          <w:kern w:val="0"/>
          <w:sz w:val="32"/>
          <w:szCs w:val="32"/>
          <w:lang w:eastAsia="zh-CN"/>
        </w:rPr>
        <w:t>；卫生健康（类）支出</w:t>
      </w:r>
      <w:r>
        <w:rPr>
          <w:rFonts w:hint="eastAsia" w:ascii="CESI仿宋-GB2312" w:hAnsi="CESI仿宋-GB2312" w:eastAsia="CESI仿宋-GB2312" w:cs="CESI仿宋-GB2312"/>
          <w:kern w:val="0"/>
          <w:sz w:val="32"/>
          <w:szCs w:val="32"/>
          <w:lang w:val="en-US" w:eastAsia="zh-CN"/>
        </w:rPr>
        <w:t>8.92万元，占1.4%</w:t>
      </w:r>
      <w:r>
        <w:rPr>
          <w:rFonts w:hint="eastAsia" w:ascii="CESI仿宋-GB2312" w:hAnsi="CESI仿宋-GB2312" w:eastAsia="CESI仿宋-GB2312" w:cs="CESI仿宋-GB2312"/>
          <w:kern w:val="0"/>
          <w:sz w:val="32"/>
          <w:szCs w:val="32"/>
        </w:rPr>
        <w:t>城乡社区（类）支出</w:t>
      </w:r>
      <w:r>
        <w:rPr>
          <w:rFonts w:hint="eastAsia" w:ascii="CESI仿宋-GB2312" w:hAnsi="CESI仿宋-GB2312" w:eastAsia="CESI仿宋-GB2312" w:cs="CESI仿宋-GB2312"/>
          <w:kern w:val="0"/>
          <w:sz w:val="32"/>
          <w:szCs w:val="32"/>
          <w:lang w:val="en-US" w:eastAsia="zh-CN"/>
        </w:rPr>
        <w:t>581.96万元，</w:t>
      </w:r>
      <w:r>
        <w:rPr>
          <w:rFonts w:hint="eastAsia" w:ascii="CESI仿宋-GB2312" w:hAnsi="CESI仿宋-GB2312" w:eastAsia="CESI仿宋-GB2312" w:cs="CESI仿宋-GB2312"/>
          <w:kern w:val="0"/>
          <w:sz w:val="32"/>
          <w:szCs w:val="32"/>
        </w:rPr>
        <w:t>占</w:t>
      </w:r>
      <w:r>
        <w:rPr>
          <w:rFonts w:hint="eastAsia" w:ascii="CESI仿宋-GB2312" w:hAnsi="CESI仿宋-GB2312" w:eastAsia="CESI仿宋-GB2312" w:cs="CESI仿宋-GB2312"/>
          <w:kern w:val="0"/>
          <w:sz w:val="32"/>
          <w:szCs w:val="32"/>
          <w:lang w:val="en-US" w:eastAsia="zh-CN"/>
        </w:rPr>
        <w:t>91.34</w:t>
      </w:r>
      <w:r>
        <w:rPr>
          <w:rFonts w:hint="eastAsia" w:ascii="CESI仿宋-GB2312" w:hAnsi="CESI仿宋-GB2312" w:eastAsia="CESI仿宋-GB2312" w:cs="CESI仿宋-GB2312"/>
          <w:kern w:val="0"/>
          <w:sz w:val="32"/>
          <w:szCs w:val="32"/>
        </w:rPr>
        <w:t>%；</w:t>
      </w:r>
      <w:r>
        <w:rPr>
          <w:rFonts w:hint="eastAsia" w:ascii="CESI仿宋-GB2312" w:hAnsi="CESI仿宋-GB2312" w:eastAsia="CESI仿宋-GB2312" w:cs="CESI仿宋-GB2312"/>
          <w:kern w:val="0"/>
          <w:sz w:val="32"/>
          <w:szCs w:val="32"/>
          <w:lang w:val="en-US" w:eastAsia="zh-CN"/>
        </w:rPr>
        <w:t>住房保障</w:t>
      </w:r>
      <w:r>
        <w:rPr>
          <w:rFonts w:hint="eastAsia" w:ascii="CESI仿宋-GB2312" w:hAnsi="CESI仿宋-GB2312" w:eastAsia="CESI仿宋-GB2312" w:cs="CESI仿宋-GB2312"/>
          <w:kern w:val="0"/>
          <w:sz w:val="32"/>
          <w:szCs w:val="32"/>
        </w:rPr>
        <w:t>（类）支出</w:t>
      </w:r>
      <w:r>
        <w:rPr>
          <w:rFonts w:hint="eastAsia" w:ascii="CESI仿宋-GB2312" w:hAnsi="CESI仿宋-GB2312" w:eastAsia="CESI仿宋-GB2312" w:cs="CESI仿宋-GB2312"/>
          <w:kern w:val="0"/>
          <w:sz w:val="32"/>
          <w:szCs w:val="32"/>
          <w:lang w:val="en-US" w:eastAsia="zh-CN"/>
        </w:rPr>
        <w:t>15.78万元，</w:t>
      </w:r>
      <w:r>
        <w:rPr>
          <w:rFonts w:hint="eastAsia" w:ascii="CESI仿宋-GB2312" w:hAnsi="CESI仿宋-GB2312" w:eastAsia="CESI仿宋-GB2312" w:cs="CESI仿宋-GB2312"/>
          <w:kern w:val="0"/>
          <w:sz w:val="32"/>
          <w:szCs w:val="32"/>
        </w:rPr>
        <w:t>占</w:t>
      </w:r>
      <w:r>
        <w:rPr>
          <w:rFonts w:hint="eastAsia" w:ascii="CESI仿宋-GB2312" w:hAnsi="CESI仿宋-GB2312" w:eastAsia="CESI仿宋-GB2312" w:cs="CESI仿宋-GB2312"/>
          <w:kern w:val="0"/>
          <w:sz w:val="32"/>
          <w:szCs w:val="32"/>
          <w:lang w:val="en-US" w:eastAsia="zh-CN"/>
        </w:rPr>
        <w:t>2.48</w:t>
      </w:r>
      <w:r>
        <w:rPr>
          <w:rFonts w:hint="eastAsia" w:ascii="CESI仿宋-GB2312" w:hAnsi="CESI仿宋-GB2312" w:eastAsia="CESI仿宋-GB2312" w:cs="CESI仿宋-GB2312"/>
          <w:kern w:val="0"/>
          <w:sz w:val="32"/>
          <w:szCs w:val="32"/>
        </w:rPr>
        <w:t>%</w:t>
      </w:r>
      <w:r>
        <w:rPr>
          <w:rFonts w:hint="eastAsia" w:ascii="CESI仿宋-GB2312" w:hAnsi="CESI仿宋-GB2312" w:eastAsia="CESI仿宋-GB2312" w:cs="CESI仿宋-GB2312"/>
          <w:kern w:val="0"/>
          <w:sz w:val="32"/>
          <w:szCs w:val="32"/>
          <w:lang w:eastAsia="zh-CN"/>
        </w:rPr>
        <w:t>。</w:t>
      </w:r>
    </w:p>
    <w:p w14:paraId="1A83CA3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val="0"/>
          <w:bCs/>
          <w:sz w:val="32"/>
          <w:szCs w:val="32"/>
        </w:rPr>
        <w:t>（三）一般公共预算财政拨款支出决算具体情况</w:t>
      </w:r>
    </w:p>
    <w:p w14:paraId="7957EFD0">
      <w:pPr>
        <w:pStyle w:val="14"/>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年度财政拨款支出年初预算数为</w:t>
      </w:r>
      <w:r>
        <w:rPr>
          <w:rFonts w:hint="eastAsia" w:ascii="CESI仿宋-GB2312" w:hAnsi="CESI仿宋-GB2312" w:eastAsia="CESI仿宋-GB2312" w:cs="CESI仿宋-GB2312"/>
          <w:color w:val="auto"/>
          <w:sz w:val="32"/>
          <w:szCs w:val="32"/>
          <w:lang w:val="en-US" w:eastAsia="zh-CN"/>
        </w:rPr>
        <w:t>290.18</w:t>
      </w:r>
      <w:r>
        <w:rPr>
          <w:rFonts w:hint="eastAsia" w:ascii="CESI仿宋-GB2312" w:hAnsi="CESI仿宋-GB2312" w:eastAsia="CESI仿宋-GB2312" w:cs="CESI仿宋-GB2312"/>
          <w:color w:val="auto"/>
          <w:sz w:val="32"/>
          <w:szCs w:val="32"/>
        </w:rPr>
        <w:t>万元，支出决算数为</w:t>
      </w:r>
      <w:r>
        <w:rPr>
          <w:rFonts w:hint="eastAsia" w:ascii="CESI仿宋-GB2312" w:hAnsi="CESI仿宋-GB2312" w:eastAsia="CESI仿宋-GB2312" w:cs="CESI仿宋-GB2312"/>
          <w:color w:val="auto"/>
          <w:sz w:val="32"/>
          <w:szCs w:val="32"/>
          <w:lang w:val="en-US" w:eastAsia="zh-CN"/>
        </w:rPr>
        <w:t>637.11</w:t>
      </w:r>
      <w:r>
        <w:rPr>
          <w:rFonts w:hint="eastAsia" w:ascii="CESI仿宋-GB2312" w:hAnsi="CESI仿宋-GB2312" w:eastAsia="CESI仿宋-GB2312" w:cs="CESI仿宋-GB2312"/>
          <w:color w:val="auto"/>
          <w:sz w:val="32"/>
          <w:szCs w:val="32"/>
        </w:rPr>
        <w:t>万元，</w:t>
      </w:r>
      <w:r>
        <w:rPr>
          <w:rFonts w:hint="eastAsia" w:ascii="CESI仿宋-GB2312" w:hAnsi="CESI仿宋-GB2312" w:eastAsia="CESI仿宋-GB2312" w:cs="CESI仿宋-GB2312"/>
          <w:sz w:val="32"/>
          <w:szCs w:val="32"/>
        </w:rPr>
        <w:t>完成年初预算的</w:t>
      </w:r>
      <w:r>
        <w:rPr>
          <w:rFonts w:hint="eastAsia" w:ascii="CESI仿宋-GB2312" w:hAnsi="CESI仿宋-GB2312" w:eastAsia="CESI仿宋-GB2312" w:cs="CESI仿宋-GB2312"/>
          <w:sz w:val="32"/>
          <w:szCs w:val="32"/>
          <w:lang w:val="en-US" w:eastAsia="zh-CN"/>
        </w:rPr>
        <w:t>219.56</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color w:val="auto"/>
          <w:kern w:val="0"/>
          <w:sz w:val="32"/>
          <w:szCs w:val="32"/>
          <w:lang w:val="en-US" w:eastAsia="zh-CN" w:bidi="ar-SA"/>
        </w:rPr>
        <w:t>决算数大于年初预算数的主要原因是预算方式调整，本年单位部分专项经费列入财政代编预算，未体现在年初预算中。</w:t>
      </w:r>
      <w:r>
        <w:rPr>
          <w:rFonts w:hint="eastAsia" w:ascii="CESI仿宋-GB2312" w:hAnsi="CESI仿宋-GB2312" w:eastAsia="CESI仿宋-GB2312" w:cs="CESI仿宋-GB2312"/>
          <w:color w:val="auto"/>
          <w:sz w:val="32"/>
          <w:szCs w:val="32"/>
        </w:rPr>
        <w:t>其中：</w:t>
      </w:r>
    </w:p>
    <w:p w14:paraId="6AB7D0D3">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1、社会保障和就业支出（类）行政事业单位养老支出（款） 机关事业单位基本养老保险缴费支出（项）。</w:t>
      </w:r>
    </w:p>
    <w:p w14:paraId="64A977DE">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年初预算为24.71万元，支出决算为23.60万元，完成年初预算的95.51%，决算数小于年初预算数的主要原因是年中人员调出，社保缴费额减少。</w:t>
      </w:r>
    </w:p>
    <w:p w14:paraId="5C152F0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2、社会保障和就业支出（类）残疾人事业（款）其他残疾人事业支出（项）。</w:t>
      </w:r>
    </w:p>
    <w:p w14:paraId="255427C2">
      <w:pPr>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年初预算为2.23万元，支出决算为2.23万元，完成年初预算的100%，决算数等于年初预算数的主要原因是我单位严格按年初预算执行决算。</w:t>
      </w:r>
    </w:p>
    <w:p w14:paraId="15694D00">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3、社会保障和就业支出（类）其他社会保障和就业支出（款）其他社会保障和就业支出（项）。</w:t>
      </w:r>
    </w:p>
    <w:p w14:paraId="573A850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年初预算为5.08万元，支出决算为4.62万元，完成年初预算的90.94%，决算数小于年初预算数的主要原因是年中人员调出，其他社保缴费额减少。</w:t>
      </w:r>
    </w:p>
    <w:p w14:paraId="03C74E9C">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4、卫生健康支出（类）行政事业单位医疗（款）事业单位医疗（项）。</w:t>
      </w:r>
    </w:p>
    <w:p w14:paraId="37CCA0D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年初预算为9.36万元，支出决算为8.92万元，完成年初预算的95.30%，决算数小于年初预算数的主要原因是年中人员调出，事业单位医疗缴费额减少。</w:t>
      </w:r>
    </w:p>
    <w:p w14:paraId="015CF91A">
      <w:pPr>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5、城乡社区支出（类）城乡社区管理事务（款）行政运行（项）。</w:t>
      </w:r>
    </w:p>
    <w:p w14:paraId="2D6B7BD5">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年初预算为188.45万元，支出决算为205.78万元，完成年初预算的109.20%，决算数大于年初预算数的主要原因是年中增加了综合绩效考评及部分人员经费。</w:t>
      </w:r>
    </w:p>
    <w:p w14:paraId="16BE207E">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6、城乡社区支出（类）城乡社区规划与管理（款）城乡社区规划与管理（项）。</w:t>
      </w:r>
    </w:p>
    <w:p w14:paraId="1C8689E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年初预算为42.50万元，支出决算为357.32万元，完成年初预算的840.75%，决算数大于年初预算数的主要原因是因为预算方式调整，本年单位部分专项经费列入财政代编预算，未体现在年初预算中。</w:t>
      </w:r>
    </w:p>
    <w:p w14:paraId="0699ABCD">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color w:val="000000" w:themeColor="text1"/>
          <w:sz w:val="32"/>
          <w:szCs w:val="32"/>
          <w14:textFill>
            <w14:solidFill>
              <w14:schemeClr w14:val="tx1"/>
            </w14:solidFill>
          </w14:textFill>
        </w:rPr>
      </w:pPr>
      <w:r>
        <w:rPr>
          <w:rFonts w:hint="eastAsia" w:ascii="CESI仿宋-GB2312" w:hAnsi="CESI仿宋-GB2312" w:eastAsia="CESI仿宋-GB2312" w:cs="CESI仿宋-GB2312"/>
          <w:color w:val="000000" w:themeColor="text1"/>
          <w:sz w:val="32"/>
          <w:szCs w:val="32"/>
          <w:lang w:val="en-US" w:eastAsia="zh-CN"/>
          <w14:textFill>
            <w14:solidFill>
              <w14:schemeClr w14:val="tx1"/>
            </w14:solidFill>
          </w14:textFill>
        </w:rPr>
        <w:t>7、</w:t>
      </w:r>
      <w:r>
        <w:rPr>
          <w:rFonts w:hint="eastAsia" w:ascii="CESI仿宋-GB2312" w:hAnsi="CESI仿宋-GB2312" w:eastAsia="CESI仿宋-GB2312" w:cs="CESI仿宋-GB2312"/>
          <w:color w:val="000000" w:themeColor="text1"/>
          <w:sz w:val="32"/>
          <w:szCs w:val="32"/>
          <w14:textFill>
            <w14:solidFill>
              <w14:schemeClr w14:val="tx1"/>
            </w14:solidFill>
          </w14:textFill>
        </w:rPr>
        <w:t>城乡社区支出（类）城乡社区管理事务（款） 其城乡社区管理事务支出（项）。</w:t>
      </w:r>
    </w:p>
    <w:p w14:paraId="6FC6F63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000000" w:themeColor="text1"/>
          <w:sz w:val="32"/>
          <w:szCs w:val="32"/>
          <w14:textFill>
            <w14:solidFill>
              <w14:schemeClr w14:val="tx1"/>
            </w14:solidFill>
          </w14:textFill>
        </w:rPr>
        <w:t>年初预算为</w:t>
      </w:r>
      <w:r>
        <w:rPr>
          <w:rFonts w:hint="eastAsia" w:ascii="CESI仿宋-GB2312" w:hAnsi="CESI仿宋-GB2312" w:eastAsia="CESI仿宋-GB2312" w:cs="CESI仿宋-GB2312"/>
          <w:color w:val="000000" w:themeColor="text1"/>
          <w:sz w:val="32"/>
          <w:szCs w:val="32"/>
          <w:lang w:val="en-US" w:eastAsia="zh-CN"/>
          <w14:textFill>
            <w14:solidFill>
              <w14:schemeClr w14:val="tx1"/>
            </w14:solidFill>
          </w14:textFill>
        </w:rPr>
        <w:t>0</w:t>
      </w:r>
      <w:r>
        <w:rPr>
          <w:rFonts w:hint="eastAsia" w:ascii="CESI仿宋-GB2312" w:hAnsi="CESI仿宋-GB2312" w:eastAsia="CESI仿宋-GB2312" w:cs="CESI仿宋-GB2312"/>
          <w:color w:val="000000" w:themeColor="text1"/>
          <w:sz w:val="32"/>
          <w:szCs w:val="32"/>
          <w14:textFill>
            <w14:solidFill>
              <w14:schemeClr w14:val="tx1"/>
            </w14:solidFill>
          </w14:textFill>
        </w:rPr>
        <w:t>万元，支出决算为</w:t>
      </w:r>
      <w:r>
        <w:rPr>
          <w:rFonts w:hint="eastAsia" w:ascii="CESI仿宋-GB2312" w:hAnsi="CESI仿宋-GB2312" w:eastAsia="CESI仿宋-GB2312" w:cs="CESI仿宋-GB2312"/>
          <w:color w:val="000000" w:themeColor="text1"/>
          <w:sz w:val="32"/>
          <w:szCs w:val="32"/>
          <w:lang w:val="en-US" w:eastAsia="zh-CN"/>
          <w14:textFill>
            <w14:solidFill>
              <w14:schemeClr w14:val="tx1"/>
            </w14:solidFill>
          </w14:textFill>
        </w:rPr>
        <w:t>12.91</w:t>
      </w:r>
      <w:r>
        <w:rPr>
          <w:rFonts w:hint="eastAsia" w:ascii="CESI仿宋-GB2312" w:hAnsi="CESI仿宋-GB2312" w:eastAsia="CESI仿宋-GB2312" w:cs="CESI仿宋-GB2312"/>
          <w:color w:val="000000" w:themeColor="text1"/>
          <w:sz w:val="32"/>
          <w:szCs w:val="32"/>
          <w14:textFill>
            <w14:solidFill>
              <w14:schemeClr w14:val="tx1"/>
            </w14:solidFill>
          </w14:textFill>
        </w:rPr>
        <w:t>万元，</w:t>
      </w:r>
      <w:r>
        <w:rPr>
          <w:rFonts w:hint="eastAsia" w:ascii="CESI仿宋-GB2312" w:hAnsi="CESI仿宋-GB2312" w:eastAsia="CESI仿宋-GB2312" w:cs="CESI仿宋-GB2312"/>
          <w:sz w:val="32"/>
          <w:szCs w:val="32"/>
        </w:rPr>
        <w:t>决算数大于年初预算数的主要原因是</w:t>
      </w:r>
      <w:r>
        <w:rPr>
          <w:rFonts w:hint="eastAsia" w:ascii="CESI仿宋-GB2312" w:hAnsi="CESI仿宋-GB2312" w:eastAsia="CESI仿宋-GB2312" w:cs="CESI仿宋-GB2312"/>
          <w:color w:val="auto"/>
          <w:sz w:val="32"/>
          <w:szCs w:val="32"/>
          <w:lang w:eastAsia="zh-CN"/>
        </w:rPr>
        <w:t>上年结转资金本年支付。</w:t>
      </w:r>
    </w:p>
    <w:p w14:paraId="7C83E15E">
      <w:pPr>
        <w:pStyle w:val="2"/>
        <w:keepNext w:val="0"/>
        <w:keepLines w:val="0"/>
        <w:pageBreakBefore w:val="0"/>
        <w:numPr>
          <w:ilvl w:val="0"/>
          <w:numId w:val="0"/>
        </w:numPr>
        <w:kinsoku/>
        <w:wordWrap/>
        <w:topLinePunct w:val="0"/>
        <w:bidi w:val="0"/>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 xml:space="preserve">8、城乡社区支出（类）城乡社区规划与管理（款）其他城乡社区支出（项）   </w:t>
      </w:r>
    </w:p>
    <w:p w14:paraId="32A3D20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年初预算为0万元，支出决算为5.95万元，</w:t>
      </w:r>
      <w:r>
        <w:rPr>
          <w:rFonts w:hint="eastAsia" w:ascii="CESI仿宋-GB2312" w:hAnsi="CESI仿宋-GB2312" w:eastAsia="CESI仿宋-GB2312" w:cs="CESI仿宋-GB2312"/>
          <w:sz w:val="32"/>
          <w:szCs w:val="32"/>
        </w:rPr>
        <w:t>决算数大于年初预算数的主要原因是</w:t>
      </w:r>
      <w:r>
        <w:rPr>
          <w:rFonts w:hint="eastAsia" w:ascii="CESI仿宋-GB2312" w:hAnsi="CESI仿宋-GB2312" w:eastAsia="CESI仿宋-GB2312" w:cs="CESI仿宋-GB2312"/>
          <w:color w:val="auto"/>
          <w:sz w:val="32"/>
          <w:szCs w:val="32"/>
          <w:lang w:eastAsia="zh-CN"/>
        </w:rPr>
        <w:t>上年结转资金本年支付。</w:t>
      </w:r>
    </w:p>
    <w:p w14:paraId="717E3BA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9、住房保障支出（类）住房改革支出（款）住房公积金（项）。</w:t>
      </w:r>
    </w:p>
    <w:p w14:paraId="19AB1952">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年初预算为17.85万元，支出决算为15.78万元，完成年初预算的88.40%，决算数小于年初预算数的主要原因是年中人员调出，住房公积金扣缴调整缴费额减少。</w:t>
      </w:r>
    </w:p>
    <w:p w14:paraId="05B0176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20EF866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2025年度一般公共预算财政拨款基本支出266.88万元，其中：</w:t>
      </w:r>
    </w:p>
    <w:p w14:paraId="058C64A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pPr>
      <w:r>
        <w:rPr>
          <w:rFonts w:hint="eastAsia" w:ascii="CESI仿宋-GB2312" w:hAnsi="CESI仿宋-GB2312" w:eastAsia="CESI仿宋-GB2312" w:cs="CESI仿宋-GB2312"/>
          <w:b/>
          <w:bCs/>
          <w:color w:val="000000" w:themeColor="text1"/>
          <w:kern w:val="0"/>
          <w:sz w:val="32"/>
          <w:szCs w:val="32"/>
          <w:lang w:val="en-US" w:eastAsia="zh-CN" w:bidi="ar-SA"/>
          <w14:textFill>
            <w14:solidFill>
              <w14:schemeClr w14:val="tx1"/>
            </w14:solidFill>
          </w14:textFill>
        </w:rPr>
        <w:t>人员经费</w:t>
      </w:r>
      <w:r>
        <w:rPr>
          <w:rFonts w:hint="eastAsia" w:ascii="CESI仿宋-GB2312" w:hAnsi="CESI仿宋-GB2312" w:eastAsia="CESI仿宋-GB2312" w:cs="CESI仿宋-GB2312"/>
          <w:color w:val="000000" w:themeColor="text1"/>
          <w:kern w:val="0"/>
          <w:sz w:val="32"/>
          <w:szCs w:val="32"/>
          <w:lang w:val="en-US" w:eastAsia="zh-CN" w:bidi="ar-SA"/>
          <w14:textFill>
            <w14:solidFill>
              <w14:schemeClr w14:val="tx1"/>
            </w14:solidFill>
          </w14:textFill>
        </w:rPr>
        <w:t>248.17万元，占基本支出的92.99%，主要包括基本工资、津贴补贴、奖金、伙食补助费、</w:t>
      </w:r>
      <w:r>
        <w:rPr>
          <w:rFonts w:hint="eastAsia" w:ascii="CESI仿宋-GB2312" w:hAnsi="CESI仿宋-GB2312" w:eastAsia="CESI仿宋-GB2312" w:cs="CESI仿宋-GB2312"/>
          <w:i w:val="0"/>
          <w:iCs w:val="0"/>
          <w:caps w:val="0"/>
          <w:color w:val="000000" w:themeColor="text1"/>
          <w:spacing w:val="0"/>
          <w:kern w:val="0"/>
          <w:sz w:val="32"/>
          <w:szCs w:val="32"/>
          <w:lang w:val="en-US" w:eastAsia="zh-CN" w:bidi="ar-SA"/>
          <w14:textFill>
            <w14:solidFill>
              <w14:schemeClr w14:val="tx1"/>
            </w14:solidFill>
          </w14:textFill>
        </w:rPr>
        <w:t>绩效工资、机关事业单位基本养老保险缴费、职工基本医疗保险缴费、其他社会保障缴费、住房公积金。</w:t>
      </w:r>
    </w:p>
    <w:p w14:paraId="26DC2B9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b w:val="0"/>
          <w:bCs/>
          <w:color w:val="000000" w:themeColor="text1"/>
          <w:sz w:val="32"/>
          <w:szCs w:val="32"/>
          <w:lang w:eastAsia="zh-CN"/>
          <w14:textFill>
            <w14:solidFill>
              <w14:schemeClr w14:val="tx1"/>
            </w14:solidFill>
          </w14:textFill>
        </w:rPr>
      </w:pPr>
      <w:r>
        <w:rPr>
          <w:rFonts w:hint="eastAsia" w:ascii="CESI仿宋-GB2312" w:hAnsi="CESI仿宋-GB2312" w:eastAsia="CESI仿宋-GB2312" w:cs="CESI仿宋-GB2312"/>
          <w:b/>
          <w:bCs/>
          <w:color w:val="000000" w:themeColor="text1"/>
          <w:sz w:val="32"/>
          <w:szCs w:val="32"/>
          <w14:textFill>
            <w14:solidFill>
              <w14:schemeClr w14:val="tx1"/>
            </w14:solidFill>
          </w14:textFill>
        </w:rPr>
        <w:t>公用经费</w:t>
      </w:r>
      <w:r>
        <w:rPr>
          <w:rFonts w:hint="eastAsia" w:ascii="CESI仿宋-GB2312" w:hAnsi="CESI仿宋-GB2312" w:eastAsia="CESI仿宋-GB2312" w:cs="CESI仿宋-GB2312"/>
          <w:color w:val="000000" w:themeColor="text1"/>
          <w:sz w:val="32"/>
          <w:szCs w:val="32"/>
          <w:lang w:val="en-US" w:eastAsia="zh-CN"/>
          <w14:textFill>
            <w14:solidFill>
              <w14:schemeClr w14:val="tx1"/>
            </w14:solidFill>
          </w14:textFill>
        </w:rPr>
        <w:t>18.71</w:t>
      </w:r>
      <w:r>
        <w:rPr>
          <w:rFonts w:hint="eastAsia" w:ascii="CESI仿宋-GB2312" w:hAnsi="CESI仿宋-GB2312" w:eastAsia="CESI仿宋-GB2312" w:cs="CESI仿宋-GB2312"/>
          <w:color w:val="000000" w:themeColor="text1"/>
          <w:sz w:val="32"/>
          <w:szCs w:val="32"/>
          <w14:textFill>
            <w14:solidFill>
              <w14:schemeClr w14:val="tx1"/>
            </w14:solidFill>
          </w14:textFill>
        </w:rPr>
        <w:t>万元，占基本支出的</w:t>
      </w:r>
      <w:r>
        <w:rPr>
          <w:rFonts w:hint="eastAsia" w:ascii="CESI仿宋-GB2312" w:hAnsi="CESI仿宋-GB2312" w:eastAsia="CESI仿宋-GB2312" w:cs="CESI仿宋-GB2312"/>
          <w:color w:val="000000" w:themeColor="text1"/>
          <w:sz w:val="32"/>
          <w:szCs w:val="32"/>
          <w:lang w:val="en-US" w:eastAsia="zh-CN"/>
          <w14:textFill>
            <w14:solidFill>
              <w14:schemeClr w14:val="tx1"/>
            </w14:solidFill>
          </w14:textFill>
        </w:rPr>
        <w:t>7.01</w:t>
      </w:r>
      <w:r>
        <w:rPr>
          <w:rFonts w:hint="eastAsia" w:ascii="CESI仿宋-GB2312" w:hAnsi="CESI仿宋-GB2312" w:eastAsia="CESI仿宋-GB2312" w:cs="CESI仿宋-GB2312"/>
          <w:color w:val="000000" w:themeColor="text1"/>
          <w:sz w:val="32"/>
          <w:szCs w:val="32"/>
          <w14:textFill>
            <w14:solidFill>
              <w14:schemeClr w14:val="tx1"/>
            </w14:solidFill>
          </w14:textFill>
        </w:rPr>
        <w:t>%，主要包括办公费、</w:t>
      </w:r>
      <w:r>
        <w:rPr>
          <w:rFonts w:hint="eastAsia" w:ascii="CESI仿宋-GB2312" w:hAnsi="CESI仿宋-GB2312" w:eastAsia="CESI仿宋-GB2312" w:cs="CESI仿宋-GB2312"/>
          <w:color w:val="000000" w:themeColor="text1"/>
          <w:sz w:val="32"/>
          <w:szCs w:val="32"/>
          <w:lang w:eastAsia="zh-CN"/>
          <w14:textFill>
            <w14:solidFill>
              <w14:schemeClr w14:val="tx1"/>
            </w14:solidFill>
          </w14:textFill>
        </w:rPr>
        <w:t>印刷费、水费、</w:t>
      </w:r>
      <w:r>
        <w:rPr>
          <w:rFonts w:hint="eastAsia" w:ascii="CESI仿宋-GB2312" w:hAnsi="CESI仿宋-GB2312" w:eastAsia="CESI仿宋-GB2312" w:cs="CESI仿宋-GB2312"/>
          <w:i w:val="0"/>
          <w:iCs w:val="0"/>
          <w:caps w:val="0"/>
          <w:color w:val="000000" w:themeColor="text1"/>
          <w:spacing w:val="0"/>
          <w:sz w:val="32"/>
          <w:szCs w:val="32"/>
          <w14:textFill>
            <w14:solidFill>
              <w14:schemeClr w14:val="tx1"/>
            </w14:solidFill>
          </w14:textFill>
        </w:rPr>
        <w:t>电费、邮电费、物业管理费、</w:t>
      </w:r>
      <w:r>
        <w:rPr>
          <w:rFonts w:hint="eastAsia" w:ascii="CESI仿宋-GB2312" w:hAnsi="CESI仿宋-GB2312" w:eastAsia="CESI仿宋-GB2312" w:cs="CESI仿宋-GB2312"/>
          <w:i w:val="0"/>
          <w:iCs w:val="0"/>
          <w:caps w:val="0"/>
          <w:color w:val="000000" w:themeColor="text1"/>
          <w:spacing w:val="0"/>
          <w:sz w:val="32"/>
          <w:szCs w:val="32"/>
          <w:lang w:eastAsia="zh-CN"/>
          <w14:textFill>
            <w14:solidFill>
              <w14:schemeClr w14:val="tx1"/>
            </w14:solidFill>
          </w14:textFill>
        </w:rPr>
        <w:t>差旅费、维修（护）</w:t>
      </w:r>
      <w:r>
        <w:rPr>
          <w:rFonts w:hint="eastAsia" w:ascii="CESI仿宋-GB2312" w:hAnsi="CESI仿宋-GB2312" w:eastAsia="CESI仿宋-GB2312" w:cs="CESI仿宋-GB2312"/>
          <w:i w:val="0"/>
          <w:iCs w:val="0"/>
          <w:caps w:val="0"/>
          <w:color w:val="000000" w:themeColor="text1"/>
          <w:spacing w:val="0"/>
          <w:sz w:val="32"/>
          <w:szCs w:val="32"/>
          <w14:textFill>
            <w14:solidFill>
              <w14:schemeClr w14:val="tx1"/>
            </w14:solidFill>
          </w14:textFill>
        </w:rPr>
        <w:t>费、</w:t>
      </w:r>
      <w:r>
        <w:rPr>
          <w:rFonts w:hint="eastAsia" w:ascii="CESI仿宋-GB2312" w:hAnsi="CESI仿宋-GB2312" w:eastAsia="CESI仿宋-GB2312" w:cs="CESI仿宋-GB2312"/>
          <w:i w:val="0"/>
          <w:iCs w:val="0"/>
          <w:caps w:val="0"/>
          <w:color w:val="000000" w:themeColor="text1"/>
          <w:spacing w:val="0"/>
          <w:sz w:val="32"/>
          <w:szCs w:val="32"/>
          <w:lang w:eastAsia="zh-CN"/>
          <w14:textFill>
            <w14:solidFill>
              <w14:schemeClr w14:val="tx1"/>
            </w14:solidFill>
          </w14:textFill>
        </w:rPr>
        <w:t>劳务</w:t>
      </w:r>
      <w:r>
        <w:rPr>
          <w:rFonts w:hint="eastAsia" w:ascii="CESI仿宋-GB2312" w:hAnsi="CESI仿宋-GB2312" w:eastAsia="CESI仿宋-GB2312" w:cs="CESI仿宋-GB2312"/>
          <w:i w:val="0"/>
          <w:iCs w:val="0"/>
          <w:caps w:val="0"/>
          <w:color w:val="000000" w:themeColor="text1"/>
          <w:spacing w:val="0"/>
          <w:sz w:val="32"/>
          <w:szCs w:val="32"/>
          <w14:textFill>
            <w14:solidFill>
              <w14:schemeClr w14:val="tx1"/>
            </w14:solidFill>
          </w14:textFill>
        </w:rPr>
        <w:t>费、</w:t>
      </w:r>
      <w:r>
        <w:rPr>
          <w:rFonts w:hint="eastAsia" w:ascii="CESI仿宋-GB2312" w:hAnsi="CESI仿宋-GB2312" w:eastAsia="CESI仿宋-GB2312" w:cs="CESI仿宋-GB2312"/>
          <w:i w:val="0"/>
          <w:iCs w:val="0"/>
          <w:caps w:val="0"/>
          <w:color w:val="000000" w:themeColor="text1"/>
          <w:spacing w:val="0"/>
          <w:sz w:val="32"/>
          <w:szCs w:val="32"/>
          <w:lang w:eastAsia="zh-CN"/>
          <w14:textFill>
            <w14:solidFill>
              <w14:schemeClr w14:val="tx1"/>
            </w14:solidFill>
          </w14:textFill>
        </w:rPr>
        <w:t>委托业务费、</w:t>
      </w:r>
      <w:r>
        <w:rPr>
          <w:rFonts w:hint="eastAsia" w:ascii="CESI仿宋-GB2312" w:hAnsi="CESI仿宋-GB2312" w:eastAsia="CESI仿宋-GB2312" w:cs="CESI仿宋-GB2312"/>
          <w:i w:val="0"/>
          <w:iCs w:val="0"/>
          <w:caps w:val="0"/>
          <w:color w:val="000000" w:themeColor="text1"/>
          <w:spacing w:val="0"/>
          <w:sz w:val="32"/>
          <w:szCs w:val="32"/>
          <w14:textFill>
            <w14:solidFill>
              <w14:schemeClr w14:val="tx1"/>
            </w14:solidFill>
          </w14:textFill>
        </w:rPr>
        <w:t>工会经费、福利费、其他商品和服务支出</w:t>
      </w:r>
      <w:r>
        <w:rPr>
          <w:rFonts w:hint="eastAsia" w:ascii="CESI仿宋-GB2312" w:hAnsi="CESI仿宋-GB2312" w:eastAsia="CESI仿宋-GB2312" w:cs="CESI仿宋-GB2312"/>
          <w:b w:val="0"/>
          <w:bCs/>
          <w:color w:val="000000" w:themeColor="text1"/>
          <w:sz w:val="32"/>
          <w:szCs w:val="32"/>
          <w:lang w:eastAsia="zh-CN"/>
          <w14:textFill>
            <w14:solidFill>
              <w14:schemeClr w14:val="tx1"/>
            </w14:solidFill>
          </w14:textFill>
        </w:rPr>
        <w:t>。</w:t>
      </w:r>
    </w:p>
    <w:p w14:paraId="46E9F0F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2198B99F">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CESI仿宋-GB2312" w:hAnsi="CESI仿宋-GB2312" w:eastAsia="CESI仿宋-GB2312" w:cs="CESI仿宋-GB2312"/>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CESI仿宋-GB2312" w:hAnsi="CESI仿宋-GB2312" w:eastAsia="CESI仿宋-GB2312" w:cs="CESI仿宋-GB2312"/>
          <w:sz w:val="32"/>
          <w:szCs w:val="32"/>
          <w:lang w:val="en-US" w:eastAsia="zh-CN"/>
        </w:rPr>
        <w:t xml:space="preserve"> </w:t>
      </w:r>
      <w:r>
        <w:rPr>
          <w:rFonts w:hint="eastAsia" w:ascii="CESI仿宋-GB2312" w:hAnsi="CESI仿宋-GB2312" w:eastAsia="CESI仿宋-GB2312" w:cs="CESI仿宋-GB2312"/>
          <w:b w:val="0"/>
          <w:bCs w:val="0"/>
          <w:i w:val="0"/>
          <w:iCs/>
          <w:color w:val="auto"/>
          <w:kern w:val="0"/>
          <w:sz w:val="32"/>
          <w:szCs w:val="32"/>
          <w:lang w:val="en-US" w:eastAsia="zh-CN" w:bidi="ar-SA"/>
        </w:rPr>
        <w:t>2025年度政府性基金预算财政拨款收入0万元；年初结转和结余0万元；支出0万元，其中基本支出0万元，项目支出0万元；年末结转和结余0万元。</w:t>
      </w:r>
    </w:p>
    <w:p w14:paraId="0D02F6D1">
      <w:pPr>
        <w:keepNext w:val="0"/>
        <w:keepLines w:val="0"/>
        <w:pageBreakBefore w:val="0"/>
        <w:widowControl w:val="0"/>
        <w:kinsoku/>
        <w:wordWrap/>
        <w:overflowPunct/>
        <w:topLinePunct w:val="0"/>
        <w:autoSpaceDE w:val="0"/>
        <w:autoSpaceDN w:val="0"/>
        <w:bidi w:val="0"/>
        <w:adjustRightInd w:val="0"/>
        <w:snapToGrid/>
        <w:spacing w:line="600" w:lineRule="exact"/>
        <w:ind w:firstLine="560" w:firstLineChars="200"/>
        <w:textAlignment w:val="auto"/>
        <w:rPr>
          <w:rFonts w:hint="eastAsia" w:ascii="黑体" w:hAnsi="黑体" w:eastAsia="黑体" w:cs="黑体"/>
          <w:b w:val="0"/>
          <w:bCs/>
          <w:color w:val="000000"/>
          <w:kern w:val="0"/>
          <w:sz w:val="28"/>
          <w:szCs w:val="28"/>
          <w:lang w:val="en-US" w:eastAsia="zh-CN" w:bidi="ar-SA"/>
        </w:rPr>
      </w:pPr>
      <w:r>
        <w:rPr>
          <w:rFonts w:hint="eastAsia" w:ascii="黑体" w:hAnsi="黑体" w:eastAsia="黑体" w:cs="黑体"/>
          <w:b w:val="0"/>
          <w:bCs/>
          <w:color w:val="000000"/>
          <w:kern w:val="0"/>
          <w:sz w:val="28"/>
          <w:szCs w:val="28"/>
          <w:lang w:val="en-US" w:eastAsia="zh-CN" w:bidi="ar-SA"/>
        </w:rPr>
        <w:t>八、国有资本经营预算财政拨款支出决算情况</w:t>
      </w:r>
    </w:p>
    <w:p w14:paraId="44D63FD0">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b w:val="0"/>
          <w:bCs/>
          <w:color w:val="auto"/>
          <w:sz w:val="32"/>
          <w:szCs w:val="32"/>
        </w:rPr>
      </w:pPr>
      <w:r>
        <w:rPr>
          <w:rFonts w:hint="eastAsia" w:ascii="CESI仿宋-GB2312" w:hAnsi="CESI仿宋-GB2312" w:eastAsia="CESI仿宋-GB2312" w:cs="CESI仿宋-GB2312"/>
          <w:i w:val="0"/>
          <w:iCs/>
          <w:color w:val="auto"/>
          <w:kern w:val="0"/>
          <w:sz w:val="32"/>
          <w:szCs w:val="32"/>
          <w:lang w:val="en-US" w:eastAsia="zh-CN" w:bidi="ar-SA"/>
        </w:rPr>
        <w:t>2025年度国有资本经营预算财政拨款收入0万元；年初结转和结余0万元；支出0万元，其中：基本支出0万元，项目支出0万元；年末结转和结余0万元。</w:t>
      </w:r>
    </w:p>
    <w:p w14:paraId="0C1A145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71019243">
      <w:pPr>
        <w:pStyle w:val="14"/>
        <w:keepNext w:val="0"/>
        <w:keepLines w:val="0"/>
        <w:pageBreakBefore w:val="0"/>
        <w:numPr>
          <w:ilvl w:val="0"/>
          <w:numId w:val="0"/>
        </w:numPr>
        <w:kinsoku/>
        <w:wordWrap/>
        <w:overflowPunct w:val="0"/>
        <w:topLinePunct w:val="0"/>
        <w:autoSpaceDE/>
        <w:autoSpaceDN/>
        <w:bidi w:val="0"/>
        <w:spacing w:line="600" w:lineRule="exact"/>
        <w:ind w:firstLine="640" w:firstLineChars="200"/>
        <w:jc w:val="both"/>
        <w:textAlignment w:val="auto"/>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（一）“三公”经费财政拨款支出决算总体情况说明</w:t>
      </w:r>
    </w:p>
    <w:p w14:paraId="2C148544">
      <w:pPr>
        <w:pStyle w:val="14"/>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000000" w:themeColor="text1"/>
          <w:sz w:val="32"/>
          <w:szCs w:val="32"/>
          <w14:textFill>
            <w14:solidFill>
              <w14:schemeClr w14:val="tx1"/>
            </w14:solidFill>
          </w14:textFill>
        </w:rPr>
        <w:t>202</w:t>
      </w:r>
      <w:r>
        <w:rPr>
          <w:rFonts w:hint="eastAsia" w:ascii="CESI仿宋-GB2312" w:hAnsi="CESI仿宋-GB2312" w:eastAsia="CESI仿宋-GB2312" w:cs="CESI仿宋-GB2312"/>
          <w:color w:val="000000" w:themeColor="text1"/>
          <w:sz w:val="32"/>
          <w:szCs w:val="32"/>
          <w:lang w:val="en-US" w:eastAsia="zh-CN"/>
          <w14:textFill>
            <w14:solidFill>
              <w14:schemeClr w14:val="tx1"/>
            </w14:solidFill>
          </w14:textFill>
        </w:rPr>
        <w:t>5</w:t>
      </w:r>
      <w:r>
        <w:rPr>
          <w:rFonts w:hint="eastAsia" w:ascii="CESI仿宋-GB2312" w:hAnsi="CESI仿宋-GB2312" w:eastAsia="CESI仿宋-GB2312" w:cs="CESI仿宋-GB2312"/>
          <w:color w:val="000000" w:themeColor="text1"/>
          <w:sz w:val="32"/>
          <w:szCs w:val="32"/>
          <w14:textFill>
            <w14:solidFill>
              <w14:schemeClr w14:val="tx1"/>
            </w14:solidFill>
          </w14:textFill>
        </w:rPr>
        <w:t>年度“三公”经费财政拨款支出预算为</w:t>
      </w:r>
      <w:r>
        <w:rPr>
          <w:rFonts w:hint="eastAsia" w:ascii="CESI仿宋-GB2312" w:hAnsi="CESI仿宋-GB2312" w:eastAsia="CESI仿宋-GB2312" w:cs="CESI仿宋-GB2312"/>
          <w:color w:val="000000" w:themeColor="text1"/>
          <w:sz w:val="32"/>
          <w:szCs w:val="32"/>
          <w:lang w:val="en-US" w:eastAsia="zh-CN"/>
          <w14:textFill>
            <w14:solidFill>
              <w14:schemeClr w14:val="tx1"/>
            </w14:solidFill>
          </w14:textFill>
        </w:rPr>
        <w:t>0</w:t>
      </w:r>
      <w:r>
        <w:rPr>
          <w:rFonts w:hint="eastAsia" w:ascii="CESI仿宋-GB2312" w:hAnsi="CESI仿宋-GB2312" w:eastAsia="CESI仿宋-GB2312" w:cs="CESI仿宋-GB2312"/>
          <w:color w:val="000000" w:themeColor="text1"/>
          <w:sz w:val="32"/>
          <w:szCs w:val="32"/>
          <w14:textFill>
            <w14:solidFill>
              <w14:schemeClr w14:val="tx1"/>
            </w14:solidFill>
          </w14:textFill>
        </w:rPr>
        <w:t>万元，支出决算为</w:t>
      </w:r>
      <w:r>
        <w:rPr>
          <w:rFonts w:hint="eastAsia" w:ascii="CESI仿宋-GB2312" w:hAnsi="CESI仿宋-GB2312" w:eastAsia="CESI仿宋-GB2312" w:cs="CESI仿宋-GB2312"/>
          <w:color w:val="000000" w:themeColor="text1"/>
          <w:sz w:val="32"/>
          <w:szCs w:val="32"/>
          <w:lang w:val="en-US" w:eastAsia="zh-CN"/>
          <w14:textFill>
            <w14:solidFill>
              <w14:schemeClr w14:val="tx1"/>
            </w14:solidFill>
          </w14:textFill>
        </w:rPr>
        <w:t>0</w:t>
      </w:r>
      <w:r>
        <w:rPr>
          <w:rFonts w:hint="eastAsia" w:ascii="CESI仿宋-GB2312" w:hAnsi="CESI仿宋-GB2312" w:eastAsia="CESI仿宋-GB2312" w:cs="CESI仿宋-GB2312"/>
          <w:color w:val="000000" w:themeColor="text1"/>
          <w:sz w:val="32"/>
          <w:szCs w:val="32"/>
          <w14:textFill>
            <w14:solidFill>
              <w14:schemeClr w14:val="tx1"/>
            </w14:solidFill>
          </w14:textFill>
        </w:rPr>
        <w:t>万元，</w:t>
      </w:r>
      <w:r>
        <w:rPr>
          <w:rFonts w:hint="eastAsia" w:ascii="CESI仿宋-GB2312" w:hAnsi="CESI仿宋-GB2312" w:eastAsia="CESI仿宋-GB2312" w:cs="CESI仿宋-GB2312"/>
          <w:color w:val="000000" w:themeColor="text1"/>
          <w:kern w:val="0"/>
          <w:sz w:val="32"/>
          <w:szCs w:val="32"/>
          <w:lang w:eastAsia="zh-CN"/>
          <w14:textFill>
            <w14:solidFill>
              <w14:schemeClr w14:val="tx1"/>
            </w14:solidFill>
          </w14:textFill>
        </w:rPr>
        <w:t>决算数等于预算数</w:t>
      </w:r>
      <w:r>
        <w:rPr>
          <w:rFonts w:hint="eastAsia" w:ascii="CESI仿宋-GB2312" w:hAnsi="CESI仿宋-GB2312" w:eastAsia="CESI仿宋-GB2312" w:cs="CESI仿宋-GB2312"/>
          <w:color w:val="000000" w:themeColor="text1"/>
          <w:kern w:val="0"/>
          <w:sz w:val="32"/>
          <w:szCs w:val="32"/>
          <w:lang w:val="en-US" w:eastAsia="zh-CN"/>
          <w14:textFill>
            <w14:solidFill>
              <w14:schemeClr w14:val="tx1"/>
            </w14:solidFill>
          </w14:textFill>
        </w:rPr>
        <w:t>，主要原因是我单位严</w:t>
      </w:r>
      <w:r>
        <w:rPr>
          <w:rFonts w:hint="eastAsia" w:ascii="CESI仿宋-GB2312" w:hAnsi="CESI仿宋-GB2312" w:eastAsia="CESI仿宋-GB2312" w:cs="CESI仿宋-GB2312"/>
          <w:color w:val="auto"/>
          <w:kern w:val="0"/>
          <w:sz w:val="32"/>
          <w:szCs w:val="32"/>
          <w:lang w:val="en-US" w:eastAsia="zh-CN"/>
        </w:rPr>
        <w:t>格按预算执行决算；与上年一致，无增减变动，主要原因是按有关政策厉行节约，严控“三公经费”支出。</w:t>
      </w:r>
    </w:p>
    <w:p w14:paraId="69DCAC98">
      <w:pPr>
        <w:pStyle w:val="14"/>
        <w:keepNext w:val="0"/>
        <w:keepLines w:val="0"/>
        <w:pageBreakBefore w:val="0"/>
        <w:kinsoku/>
        <w:wordWrap/>
        <w:overflowPunct w:val="0"/>
        <w:topLinePunct w:val="0"/>
        <w:autoSpaceDE/>
        <w:autoSpaceDN/>
        <w:bidi w:val="0"/>
        <w:spacing w:line="600" w:lineRule="exact"/>
        <w:ind w:firstLine="640" w:firstLineChars="200"/>
        <w:jc w:val="both"/>
        <w:textAlignment w:val="auto"/>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（二）“三公”经费财政拨款支出决算具体情况说明</w:t>
      </w:r>
    </w:p>
    <w:p w14:paraId="6B47D45C">
      <w:pPr>
        <w:keepNext w:val="0"/>
        <w:keepLines w:val="0"/>
        <w:pageBreakBefore w:val="0"/>
        <w:widowControl w:val="0"/>
        <w:kinsoku/>
        <w:wordWrap/>
        <w:overflowPunct w:val="0"/>
        <w:topLinePunct w:val="0"/>
        <w:autoSpaceDE/>
        <w:autoSpaceDN/>
        <w:bidi w:val="0"/>
        <w:adjustRightInd w:val="0"/>
        <w:spacing w:line="600" w:lineRule="exact"/>
        <w:ind w:firstLine="640" w:firstLineChars="200"/>
        <w:jc w:val="both"/>
        <w:textAlignment w:val="auto"/>
        <w:rPr>
          <w:rFonts w:hint="eastAsia" w:ascii="CESI仿宋-GB2312" w:hAnsi="CESI仿宋-GB2312" w:eastAsia="CESI仿宋-GB2312" w:cs="CESI仿宋-GB2312"/>
          <w:color w:val="auto"/>
          <w:kern w:val="0"/>
          <w:sz w:val="32"/>
          <w:szCs w:val="32"/>
          <w:lang w:val="en-US" w:eastAsia="zh-CN" w:bidi="ar-SA"/>
        </w:rPr>
      </w:pPr>
      <w:r>
        <w:rPr>
          <w:rFonts w:hint="eastAsia" w:ascii="CESI仿宋-GB2312" w:hAnsi="CESI仿宋-GB2312" w:eastAsia="CESI仿宋-GB2312" w:cs="CESI仿宋-GB2312"/>
          <w:color w:val="auto"/>
          <w:kern w:val="0"/>
          <w:sz w:val="32"/>
          <w:szCs w:val="32"/>
          <w:lang w:val="en-US" w:eastAsia="zh-CN" w:bidi="ar-SA"/>
        </w:rPr>
        <w:t>1.因公出国（境）费支出预算为0万元，支出决算为0万元，决算数等于预算数，主要原因是我单位严格按预算执行决算；与上年一致，无增减变动，主要原因是未安排因公出国（境）活动。2025年度安排因公出国（境）团组0个，累计0人次。</w:t>
      </w:r>
    </w:p>
    <w:p w14:paraId="2CA2DA6A">
      <w:pPr>
        <w:keepNext w:val="0"/>
        <w:keepLines w:val="0"/>
        <w:pageBreakBefore w:val="0"/>
        <w:widowControl w:val="0"/>
        <w:kinsoku/>
        <w:wordWrap/>
        <w:overflowPunct w:val="0"/>
        <w:topLinePunct w:val="0"/>
        <w:autoSpaceDE/>
        <w:autoSpaceDN/>
        <w:bidi w:val="0"/>
        <w:adjustRightInd w:val="0"/>
        <w:spacing w:line="600" w:lineRule="exact"/>
        <w:ind w:firstLine="640" w:firstLineChars="200"/>
        <w:jc w:val="both"/>
        <w:textAlignment w:val="auto"/>
        <w:rPr>
          <w:rFonts w:hint="eastAsia" w:ascii="CESI仿宋-GB2312" w:hAnsi="CESI仿宋-GB2312" w:eastAsia="CESI仿宋-GB2312" w:cs="CESI仿宋-GB2312"/>
          <w:color w:val="auto"/>
          <w:kern w:val="0"/>
          <w:sz w:val="32"/>
          <w:szCs w:val="32"/>
          <w:lang w:val="en-US" w:eastAsia="zh-CN" w:bidi="ar-SA"/>
        </w:rPr>
      </w:pPr>
      <w:r>
        <w:rPr>
          <w:rFonts w:hint="eastAsia" w:ascii="CESI仿宋-GB2312" w:hAnsi="CESI仿宋-GB2312" w:eastAsia="CESI仿宋-GB2312" w:cs="CESI仿宋-GB2312"/>
          <w:color w:val="auto"/>
          <w:kern w:val="0"/>
          <w:sz w:val="32"/>
          <w:szCs w:val="32"/>
          <w:lang w:val="en-US" w:eastAsia="zh-CN" w:bidi="ar-SA"/>
        </w:rPr>
        <w:t>2.公务用车购置费及运行维护费支出预算为0万元，支出决算为0万元，决算数等于预算数；与上年一致，无增减变动。其中：</w:t>
      </w:r>
    </w:p>
    <w:p w14:paraId="098C2DEC">
      <w:pPr>
        <w:keepNext w:val="0"/>
        <w:keepLines w:val="0"/>
        <w:pageBreakBefore w:val="0"/>
        <w:widowControl w:val="0"/>
        <w:kinsoku/>
        <w:wordWrap/>
        <w:overflowPunct w:val="0"/>
        <w:topLinePunct w:val="0"/>
        <w:autoSpaceDE/>
        <w:autoSpaceDN/>
        <w:bidi w:val="0"/>
        <w:adjustRightInd w:val="0"/>
        <w:spacing w:line="600" w:lineRule="exact"/>
        <w:ind w:firstLine="640" w:firstLineChars="200"/>
        <w:jc w:val="both"/>
        <w:textAlignment w:val="auto"/>
        <w:rPr>
          <w:rFonts w:hint="eastAsia" w:ascii="CESI仿宋-GB2312" w:hAnsi="CESI仿宋-GB2312" w:eastAsia="CESI仿宋-GB2312" w:cs="CESI仿宋-GB2312"/>
          <w:color w:val="auto"/>
          <w:kern w:val="0"/>
          <w:sz w:val="32"/>
          <w:szCs w:val="32"/>
          <w:lang w:val="en-US" w:eastAsia="zh-CN" w:bidi="ar-SA"/>
        </w:rPr>
      </w:pPr>
      <w:r>
        <w:rPr>
          <w:rFonts w:hint="eastAsia" w:ascii="CESI仿宋-GB2312" w:hAnsi="CESI仿宋-GB2312" w:eastAsia="CESI仿宋-GB2312" w:cs="CESI仿宋-GB2312"/>
          <w:color w:val="auto"/>
          <w:kern w:val="0"/>
          <w:sz w:val="32"/>
          <w:szCs w:val="32"/>
          <w:lang w:val="en-US" w:eastAsia="zh-CN" w:bidi="ar-SA"/>
        </w:rPr>
        <w:t>公务用车购置费支出预算为0万元，支出决算为0万元，决算数等于预算数，主要原因是我单位严格按预算执行决算；与上年一致，无增减变动，主要原因是两年均未购置公务用车。本单位更新公务用车0辆。</w:t>
      </w:r>
    </w:p>
    <w:p w14:paraId="7EAFBF89">
      <w:pPr>
        <w:keepNext w:val="0"/>
        <w:keepLines w:val="0"/>
        <w:pageBreakBefore w:val="0"/>
        <w:widowControl w:val="0"/>
        <w:kinsoku/>
        <w:wordWrap/>
        <w:overflowPunct w:val="0"/>
        <w:topLinePunct w:val="0"/>
        <w:autoSpaceDE/>
        <w:autoSpaceDN/>
        <w:bidi w:val="0"/>
        <w:adjustRightInd w:val="0"/>
        <w:spacing w:line="600" w:lineRule="exact"/>
        <w:ind w:firstLine="640" w:firstLineChars="200"/>
        <w:jc w:val="both"/>
        <w:textAlignment w:val="auto"/>
        <w:rPr>
          <w:rFonts w:hint="eastAsia" w:ascii="CESI仿宋-GB2312" w:hAnsi="CESI仿宋-GB2312" w:eastAsia="CESI仿宋-GB2312" w:cs="CESI仿宋-GB2312"/>
          <w:color w:val="auto"/>
          <w:kern w:val="0"/>
          <w:sz w:val="32"/>
          <w:szCs w:val="32"/>
          <w:lang w:val="en-US" w:eastAsia="zh-CN" w:bidi="ar-SA"/>
        </w:rPr>
      </w:pPr>
      <w:r>
        <w:rPr>
          <w:rFonts w:hint="eastAsia" w:ascii="CESI仿宋-GB2312" w:hAnsi="CESI仿宋-GB2312" w:eastAsia="CESI仿宋-GB2312" w:cs="CESI仿宋-GB2312"/>
          <w:color w:val="auto"/>
          <w:kern w:val="0"/>
          <w:sz w:val="32"/>
          <w:szCs w:val="32"/>
          <w:lang w:val="en-US" w:eastAsia="zh-CN" w:bidi="ar-SA"/>
        </w:rPr>
        <w:t>公务用车运行维护费支出预算为0万元，支出决算为0万元，决算数等于预算数，主要原因是我单位严格按预算执行决算；与上年一致，无增减变动，主要原因是两年均无公务用车需要运行维护。截至2025年12月31日，我单位开支财政拨款的公务用车保有量为0辆。</w:t>
      </w:r>
    </w:p>
    <w:p w14:paraId="2A3A8A5F">
      <w:pPr>
        <w:keepNext w:val="0"/>
        <w:keepLines w:val="0"/>
        <w:pageBreakBefore w:val="0"/>
        <w:widowControl w:val="0"/>
        <w:kinsoku/>
        <w:wordWrap/>
        <w:overflowPunct w:val="0"/>
        <w:topLinePunct w:val="0"/>
        <w:autoSpaceDE/>
        <w:autoSpaceDN/>
        <w:bidi w:val="0"/>
        <w:adjustRightInd w:val="0"/>
        <w:spacing w:line="600" w:lineRule="exact"/>
        <w:ind w:firstLine="640" w:firstLineChars="200"/>
        <w:jc w:val="both"/>
        <w:textAlignment w:val="auto"/>
        <w:rPr>
          <w:rFonts w:hint="eastAsia" w:ascii="CESI仿宋-GB2312" w:hAnsi="CESI仿宋-GB2312" w:eastAsia="CESI仿宋-GB2312" w:cs="CESI仿宋-GB2312"/>
          <w:color w:val="auto"/>
          <w:kern w:val="0"/>
          <w:sz w:val="32"/>
          <w:szCs w:val="32"/>
          <w:lang w:val="en-US" w:eastAsia="zh-CN" w:bidi="ar-SA"/>
        </w:rPr>
      </w:pPr>
      <w:r>
        <w:rPr>
          <w:rFonts w:hint="eastAsia" w:ascii="CESI仿宋-GB2312" w:hAnsi="CESI仿宋-GB2312" w:eastAsia="CESI仿宋-GB2312" w:cs="CESI仿宋-GB2312"/>
          <w:color w:val="auto"/>
          <w:kern w:val="0"/>
          <w:sz w:val="32"/>
          <w:szCs w:val="32"/>
          <w:lang w:val="en-US" w:eastAsia="zh-CN" w:bidi="ar-SA"/>
        </w:rPr>
        <w:t>3.公务接待费支出预算为 0万元，支出决算为0万元，决算数等于预算数，主要原因是严格执行中央八项规定；与上年一致，无增减变动，主要原因是按有关政策厉行节约，严控公务接待支出。2025年度共接待来访团组0个、来宾0人次。</w:t>
      </w:r>
    </w:p>
    <w:p w14:paraId="501D725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76BB4029">
      <w:pPr>
        <w:keepNext w:val="0"/>
        <w:keepLines w:val="0"/>
        <w:pageBreakBefore w:val="0"/>
        <w:widowControl w:val="0"/>
        <w:kinsoku/>
        <w:wordWrap/>
        <w:topLinePunct w:val="0"/>
        <w:autoSpaceDE w:val="0"/>
        <w:autoSpaceDN w:val="0"/>
        <w:bidi w:val="0"/>
        <w:adjustRightInd w:val="0"/>
        <w:spacing w:line="600" w:lineRule="exact"/>
        <w:ind w:firstLine="640" w:firstLineChars="200"/>
        <w:textAlignment w:val="auto"/>
        <w:rPr>
          <w:rFonts w:hint="eastAsia" w:ascii="CESI仿宋-GB2312" w:hAnsi="CESI仿宋-GB2312" w:eastAsia="CESI仿宋-GB2312" w:cs="CESI仿宋-GB2312"/>
          <w:color w:val="auto"/>
          <w:kern w:val="0"/>
          <w:sz w:val="32"/>
          <w:szCs w:val="32"/>
          <w:lang w:val="en-US" w:eastAsia="zh-CN" w:bidi="ar-SA"/>
        </w:rPr>
      </w:pPr>
      <w:r>
        <w:rPr>
          <w:rFonts w:hint="eastAsia" w:ascii="CESI仿宋-GB2312" w:hAnsi="CESI仿宋-GB2312" w:eastAsia="CESI仿宋-GB2312" w:cs="CESI仿宋-GB2312"/>
          <w:i w:val="0"/>
          <w:iCs/>
          <w:color w:val="auto"/>
          <w:kern w:val="0"/>
          <w:sz w:val="32"/>
          <w:szCs w:val="32"/>
          <w:lang w:val="en-US" w:eastAsia="zh-CN" w:bidi="ar-SA"/>
        </w:rPr>
        <w:t>本单位为全额拨款事业单位，按照机关运行经费的口径，本年度机关运行经费为0。</w:t>
      </w:r>
    </w:p>
    <w:p w14:paraId="7D306AC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7ECECCD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b w:val="0"/>
          <w:bCs w:val="0"/>
          <w:i w:val="0"/>
          <w:iCs w:val="0"/>
          <w:color w:val="auto"/>
          <w:kern w:val="0"/>
          <w:sz w:val="32"/>
          <w:szCs w:val="32"/>
          <w:lang w:val="en-US" w:eastAsia="zh-CN" w:bidi="ar-SA"/>
        </w:rPr>
      </w:pPr>
      <w:r>
        <w:rPr>
          <w:rFonts w:hint="eastAsia" w:ascii="CESI仿宋-GB2312" w:hAnsi="CESI仿宋-GB2312" w:eastAsia="CESI仿宋-GB2312" w:cs="CESI仿宋-GB2312"/>
          <w:color w:val="000000"/>
          <w:kern w:val="0"/>
          <w:sz w:val="32"/>
          <w:szCs w:val="32"/>
          <w:lang w:val="en-US" w:eastAsia="zh-CN" w:bidi="ar-SA"/>
        </w:rPr>
        <w:t>2025年年度，</w:t>
      </w:r>
      <w:r>
        <w:rPr>
          <w:rFonts w:hint="eastAsia" w:ascii="CESI仿宋-GB2312" w:hAnsi="CESI仿宋-GB2312" w:eastAsia="CESI仿宋-GB2312" w:cs="CESI仿宋-GB2312"/>
          <w:b w:val="0"/>
          <w:bCs w:val="0"/>
          <w:i w:val="0"/>
          <w:iCs w:val="0"/>
          <w:color w:val="auto"/>
          <w:kern w:val="0"/>
          <w:sz w:val="32"/>
          <w:szCs w:val="32"/>
          <w:lang w:val="en-US" w:eastAsia="zh-CN" w:bidi="ar-SA"/>
        </w:rPr>
        <w:t>本单位无会议费的预算和支出决算数；本单位无培训费的预算和支出决算数；本单位无举办节庆、晚会、论坛、赛事等活动的预算和支出决算数。</w:t>
      </w:r>
    </w:p>
    <w:p w14:paraId="1BCC20CE">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二</w:t>
      </w:r>
      <w:r>
        <w:rPr>
          <w:rFonts w:hint="eastAsia" w:ascii="黑体" w:hAnsi="黑体" w:eastAsia="黑体" w:cs="黑体"/>
          <w:b w:val="0"/>
          <w:bCs/>
          <w:color w:val="auto"/>
          <w:sz w:val="32"/>
          <w:szCs w:val="32"/>
        </w:rPr>
        <w:t>、关于政府采购支出说明</w:t>
      </w:r>
    </w:p>
    <w:p w14:paraId="321DF527">
      <w:pPr>
        <w:pStyle w:val="14"/>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CESI仿宋-GB2312" w:hAnsi="CESI仿宋-GB2312" w:eastAsia="CESI仿宋-GB2312" w:cs="CESI仿宋-GB2312"/>
          <w:color w:val="000000"/>
          <w:kern w:val="0"/>
          <w:sz w:val="32"/>
          <w:szCs w:val="32"/>
          <w:lang w:val="en-US" w:eastAsia="zh-CN" w:bidi="ar-SA"/>
        </w:rPr>
      </w:pPr>
      <w:r>
        <w:rPr>
          <w:rFonts w:hint="eastAsia" w:ascii="CESI仿宋-GB2312" w:hAnsi="CESI仿宋-GB2312" w:eastAsia="CESI仿宋-GB2312" w:cs="CESI仿宋-GB2312"/>
          <w:color w:val="000000"/>
          <w:kern w:val="0"/>
          <w:sz w:val="32"/>
          <w:szCs w:val="32"/>
          <w:lang w:val="en-US" w:eastAsia="zh-CN" w:bidi="ar-SA"/>
        </w:rPr>
        <w:t>本单位2025年度政府采购支出总额298.20万元，其中：政府采购货物支出0.40 万元、政府采购工程支出13.68万元、政府采购服务支出284.12万元。授予中小企业合同金额298.20万元，占政府采购支出总额的100%，其中：授予小微企业合同金额298.20万元，占授予中小企业合同金额的100%。货物采购授予中小企业合同金额占货物支出金额的100%，工程采购授予中小企业合同金额占工程支出金额的100%，服务采购授予中小企业合同金额占服务支出金额的100%。</w:t>
      </w:r>
    </w:p>
    <w:p w14:paraId="502F0010">
      <w:pPr>
        <w:pStyle w:val="14"/>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5662D3BD">
      <w:pPr>
        <w:pStyle w:val="14"/>
        <w:keepNext w:val="0"/>
        <w:keepLines w:val="0"/>
        <w:pageBreakBefore w:val="0"/>
        <w:kinsoku/>
        <w:wordWrap/>
        <w:overflowPunct w:val="0"/>
        <w:topLinePunct w:val="0"/>
        <w:autoSpaceDE/>
        <w:autoSpaceDN/>
        <w:bidi w:val="0"/>
        <w:spacing w:line="600" w:lineRule="exact"/>
        <w:ind w:firstLine="640" w:firstLineChars="200"/>
        <w:jc w:val="both"/>
        <w:textAlignment w:val="auto"/>
        <w:rPr>
          <w:rFonts w:hint="eastAsia" w:ascii="CESI仿宋-GB2312" w:hAnsi="CESI仿宋-GB2312" w:eastAsia="CESI仿宋-GB2312" w:cs="CESI仿宋-GB2312"/>
          <w:color w:val="000000"/>
          <w:kern w:val="0"/>
          <w:sz w:val="32"/>
          <w:szCs w:val="32"/>
          <w:lang w:val="en-US" w:eastAsia="zh-CN" w:bidi="ar-SA"/>
        </w:rPr>
      </w:pPr>
      <w:r>
        <w:rPr>
          <w:rFonts w:hint="eastAsia" w:ascii="CESI仿宋-GB2312" w:hAnsi="CESI仿宋-GB2312" w:eastAsia="CESI仿宋-GB2312" w:cs="CESI仿宋-GB2312"/>
          <w:color w:val="000000"/>
          <w:kern w:val="0"/>
          <w:sz w:val="32"/>
          <w:szCs w:val="32"/>
          <w:lang w:val="en-US" w:eastAsia="zh-CN" w:bidi="ar-SA"/>
        </w:rPr>
        <w:t>截至2025年12月31日，本单位共有车辆0辆，其中，副部（省）级及以上领导用车0辆、主要负责人用车0辆、机要通信用车0辆、应急保障用车0辆、执法执勤用车0辆、特种专业技术用车0辆、离退休干部服务用车0辆、其他用车0辆；单位价值100万元以上设备（不含车辆）5台（套）。</w:t>
      </w:r>
    </w:p>
    <w:p w14:paraId="5CE49CBD">
      <w:pPr>
        <w:pStyle w:val="14"/>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方正黑体_GBK" w:hAnsi="方正黑体_GBK" w:eastAsia="方正黑体_GBK" w:cs="方正黑体_GBK"/>
          <w:b w:val="0"/>
          <w:bCs/>
          <w:color w:val="auto"/>
          <w:sz w:val="32"/>
          <w:szCs w:val="32"/>
          <w:highlight w:val="none"/>
        </w:rPr>
      </w:pPr>
      <w:r>
        <w:rPr>
          <w:rFonts w:hint="eastAsia" w:ascii="方正黑体_GBK" w:hAnsi="方正黑体_GBK" w:eastAsia="方正黑体_GBK" w:cs="方正黑体_GBK"/>
          <w:b w:val="0"/>
          <w:bCs/>
          <w:color w:val="auto"/>
          <w:sz w:val="32"/>
          <w:szCs w:val="32"/>
          <w:highlight w:val="none"/>
        </w:rPr>
        <w:t>十</w:t>
      </w:r>
      <w:r>
        <w:rPr>
          <w:rFonts w:hint="eastAsia" w:ascii="方正黑体_GBK" w:hAnsi="方正黑体_GBK" w:eastAsia="方正黑体_GBK" w:cs="方正黑体_GBK"/>
          <w:b w:val="0"/>
          <w:bCs/>
          <w:color w:val="auto"/>
          <w:sz w:val="32"/>
          <w:szCs w:val="32"/>
          <w:highlight w:val="none"/>
          <w:lang w:eastAsia="zh-CN"/>
        </w:rPr>
        <w:t>四</w:t>
      </w:r>
      <w:r>
        <w:rPr>
          <w:rFonts w:hint="eastAsia" w:ascii="方正黑体_GBK" w:hAnsi="方正黑体_GBK" w:eastAsia="方正黑体_GBK" w:cs="方正黑体_GBK"/>
          <w:b w:val="0"/>
          <w:bCs/>
          <w:color w:val="auto"/>
          <w:sz w:val="32"/>
          <w:szCs w:val="32"/>
          <w:highlight w:val="none"/>
        </w:rPr>
        <w:t>、关于</w:t>
      </w:r>
      <w:r>
        <w:rPr>
          <w:rFonts w:hint="eastAsia" w:ascii="方正黑体_GBK" w:hAnsi="方正黑体_GBK" w:eastAsia="方正黑体_GBK" w:cs="方正黑体_GBK"/>
          <w:color w:val="auto"/>
          <w:sz w:val="32"/>
          <w:szCs w:val="32"/>
          <w:highlight w:val="none"/>
          <w:lang w:eastAsia="zh-CN"/>
        </w:rPr>
        <w:t>2025年</w:t>
      </w:r>
      <w:r>
        <w:rPr>
          <w:rFonts w:hint="eastAsia" w:ascii="方正黑体_GBK" w:hAnsi="方正黑体_GBK" w:eastAsia="方正黑体_GBK" w:cs="方正黑体_GBK"/>
          <w:b w:val="0"/>
          <w:bCs/>
          <w:color w:val="auto"/>
          <w:sz w:val="32"/>
          <w:szCs w:val="32"/>
          <w:highlight w:val="none"/>
        </w:rPr>
        <w:t>度</w:t>
      </w:r>
      <w:r>
        <w:rPr>
          <w:rFonts w:hint="eastAsia" w:ascii="方正黑体_GBK" w:hAnsi="方正黑体_GBK" w:eastAsia="方正黑体_GBK" w:cs="方正黑体_GBK"/>
          <w:b w:val="0"/>
          <w:bCs/>
          <w:color w:val="auto"/>
          <w:sz w:val="32"/>
          <w:szCs w:val="32"/>
          <w:highlight w:val="none"/>
          <w:lang w:eastAsia="zh-CN"/>
        </w:rPr>
        <w:t>预算</w:t>
      </w:r>
      <w:r>
        <w:rPr>
          <w:rFonts w:hint="eastAsia" w:ascii="方正黑体_GBK" w:hAnsi="方正黑体_GBK" w:eastAsia="方正黑体_GBK" w:cs="方正黑体_GBK"/>
          <w:b w:val="0"/>
          <w:bCs/>
          <w:color w:val="auto"/>
          <w:sz w:val="32"/>
          <w:szCs w:val="32"/>
          <w:highlight w:val="none"/>
        </w:rPr>
        <w:t>绩效</w:t>
      </w:r>
      <w:r>
        <w:rPr>
          <w:rFonts w:hint="eastAsia" w:ascii="方正黑体_GBK" w:hAnsi="方正黑体_GBK" w:eastAsia="方正黑体_GBK" w:cs="方正黑体_GBK"/>
          <w:b w:val="0"/>
          <w:bCs/>
          <w:color w:val="auto"/>
          <w:sz w:val="32"/>
          <w:szCs w:val="32"/>
          <w:highlight w:val="none"/>
          <w:lang w:eastAsia="zh-CN"/>
        </w:rPr>
        <w:t>管理</w:t>
      </w:r>
      <w:r>
        <w:rPr>
          <w:rFonts w:hint="eastAsia" w:ascii="方正黑体_GBK" w:hAnsi="方正黑体_GBK" w:eastAsia="方正黑体_GBK" w:cs="方正黑体_GBK"/>
          <w:b w:val="0"/>
          <w:bCs/>
          <w:color w:val="auto"/>
          <w:sz w:val="32"/>
          <w:szCs w:val="32"/>
          <w:highlight w:val="none"/>
        </w:rPr>
        <w:t>情况的说明</w:t>
      </w:r>
    </w:p>
    <w:p w14:paraId="4ED9FD62">
      <w:pPr>
        <w:keepNext w:val="0"/>
        <w:keepLines w:val="0"/>
        <w:pageBreakBefore w:val="0"/>
        <w:kinsoku/>
        <w:wordWrap/>
        <w:overflowPunct w:val="0"/>
        <w:topLinePunct w:val="0"/>
        <w:bidi w:val="0"/>
        <w:spacing w:line="600" w:lineRule="exact"/>
        <w:ind w:firstLine="640" w:firstLineChars="200"/>
        <w:textAlignment w:val="auto"/>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（一）绩效评价工作开展情况</w:t>
      </w:r>
    </w:p>
    <w:p w14:paraId="1A4C4ECF">
      <w:pPr>
        <w:keepNext w:val="0"/>
        <w:keepLines w:val="0"/>
        <w:pageBreakBefore w:val="0"/>
        <w:kinsoku/>
        <w:wordWrap/>
        <w:overflowPunct w:val="0"/>
        <w:topLinePunct w:val="0"/>
        <w:bidi w:val="0"/>
        <w:spacing w:line="600" w:lineRule="exact"/>
        <w:ind w:firstLine="640" w:firstLineChars="200"/>
        <w:textAlignment w:val="auto"/>
        <w:rPr>
          <w:rFonts w:hint="eastAsia" w:ascii="CESI仿宋-GB2312" w:hAnsi="CESI仿宋-GB2312" w:eastAsia="CESI仿宋-GB2312" w:cs="CESI仿宋-GB2312"/>
          <w:b/>
          <w:bCs/>
          <w:color w:val="FF0000"/>
          <w:sz w:val="32"/>
          <w:szCs w:val="32"/>
          <w:lang w:val="en-US" w:eastAsia="zh-CN"/>
        </w:rPr>
      </w:pPr>
      <w:r>
        <w:rPr>
          <w:rFonts w:hint="eastAsia" w:ascii="CESI仿宋-GB2312" w:hAnsi="CESI仿宋-GB2312" w:eastAsia="CESI仿宋-GB2312" w:cs="CESI仿宋-GB2312"/>
          <w:b/>
          <w:bCs/>
          <w:kern w:val="0"/>
          <w:sz w:val="32"/>
          <w:szCs w:val="32"/>
          <w:lang w:val="en-US" w:eastAsia="zh-CN"/>
        </w:rPr>
        <w:t>1.绩效自评开展情况。</w:t>
      </w:r>
      <w:r>
        <w:rPr>
          <w:rFonts w:hint="eastAsia" w:ascii="CESI仿宋-GB2312" w:hAnsi="CESI仿宋-GB2312" w:eastAsia="CESI仿宋-GB2312" w:cs="CESI仿宋-GB2312"/>
          <w:kern w:val="0"/>
          <w:sz w:val="32"/>
          <w:szCs w:val="32"/>
        </w:rPr>
        <w:t>组织对202</w:t>
      </w:r>
      <w:r>
        <w:rPr>
          <w:rFonts w:hint="eastAsia" w:ascii="CESI仿宋-GB2312" w:hAnsi="CESI仿宋-GB2312" w:eastAsia="CESI仿宋-GB2312" w:cs="CESI仿宋-GB2312"/>
          <w:kern w:val="0"/>
          <w:sz w:val="32"/>
          <w:szCs w:val="32"/>
          <w:lang w:val="en-US" w:eastAsia="zh-CN"/>
        </w:rPr>
        <w:t>5</w:t>
      </w:r>
      <w:r>
        <w:rPr>
          <w:rFonts w:hint="eastAsia" w:ascii="CESI仿宋-GB2312" w:hAnsi="CESI仿宋-GB2312" w:eastAsia="CESI仿宋-GB2312" w:cs="CESI仿宋-GB2312"/>
          <w:kern w:val="0"/>
          <w:sz w:val="32"/>
          <w:szCs w:val="32"/>
        </w:rPr>
        <w:t>年度本单位整体支出开展绩效自评，涉及项</w:t>
      </w:r>
      <w:r>
        <w:rPr>
          <w:rFonts w:hint="eastAsia" w:ascii="CESI仿宋-GB2312" w:hAnsi="CESI仿宋-GB2312" w:eastAsia="CESI仿宋-GB2312" w:cs="CESI仿宋-GB2312"/>
          <w:kern w:val="0"/>
          <w:sz w:val="32"/>
          <w:szCs w:val="32"/>
          <w:lang w:val="en-US" w:eastAsia="zh-CN"/>
        </w:rPr>
        <w:t>目2</w:t>
      </w:r>
      <w:r>
        <w:rPr>
          <w:rFonts w:hint="eastAsia" w:ascii="CESI仿宋-GB2312" w:hAnsi="CESI仿宋-GB2312" w:eastAsia="CESI仿宋-GB2312" w:cs="CESI仿宋-GB2312"/>
          <w:kern w:val="0"/>
          <w:sz w:val="32"/>
          <w:szCs w:val="32"/>
        </w:rPr>
        <w:t>个，共涉及资金</w:t>
      </w:r>
      <w:r>
        <w:rPr>
          <w:rFonts w:hint="eastAsia" w:ascii="CESI仿宋-GB2312" w:hAnsi="CESI仿宋-GB2312" w:eastAsia="CESI仿宋-GB2312" w:cs="CESI仿宋-GB2312"/>
          <w:kern w:val="0"/>
          <w:sz w:val="32"/>
          <w:szCs w:val="32"/>
          <w:lang w:val="en-US" w:eastAsia="zh-CN"/>
        </w:rPr>
        <w:t>370.23</w:t>
      </w:r>
      <w:r>
        <w:rPr>
          <w:rFonts w:hint="eastAsia" w:ascii="CESI仿宋-GB2312" w:hAnsi="CESI仿宋-GB2312" w:eastAsia="CESI仿宋-GB2312" w:cs="CESI仿宋-GB2312"/>
          <w:kern w:val="0"/>
          <w:sz w:val="32"/>
          <w:szCs w:val="32"/>
        </w:rPr>
        <w:t>万元。其中</w:t>
      </w:r>
      <w:r>
        <w:rPr>
          <w:rFonts w:hint="eastAsia" w:ascii="CESI仿宋-GB2312" w:hAnsi="CESI仿宋-GB2312" w:eastAsia="CESI仿宋-GB2312" w:cs="CESI仿宋-GB2312"/>
          <w:kern w:val="0"/>
          <w:sz w:val="32"/>
          <w:szCs w:val="32"/>
          <w:lang w:eastAsia="zh-CN"/>
        </w:rPr>
        <w:t>，</w:t>
      </w:r>
      <w:r>
        <w:rPr>
          <w:rFonts w:hint="eastAsia" w:ascii="CESI仿宋-GB2312" w:hAnsi="CESI仿宋-GB2312" w:eastAsia="CESI仿宋-GB2312" w:cs="CESI仿宋-GB2312"/>
          <w:kern w:val="0"/>
          <w:sz w:val="32"/>
          <w:szCs w:val="32"/>
        </w:rPr>
        <w:t>一般公共预算项目</w:t>
      </w:r>
      <w:r>
        <w:rPr>
          <w:rFonts w:hint="eastAsia" w:ascii="CESI仿宋-GB2312" w:hAnsi="CESI仿宋-GB2312" w:eastAsia="CESI仿宋-GB2312" w:cs="CESI仿宋-GB2312"/>
          <w:kern w:val="0"/>
          <w:sz w:val="32"/>
          <w:szCs w:val="32"/>
          <w:lang w:val="en-US" w:eastAsia="zh-CN"/>
        </w:rPr>
        <w:t>2</w:t>
      </w:r>
      <w:r>
        <w:rPr>
          <w:rFonts w:hint="eastAsia" w:ascii="CESI仿宋-GB2312" w:hAnsi="CESI仿宋-GB2312" w:eastAsia="CESI仿宋-GB2312" w:cs="CESI仿宋-GB2312"/>
          <w:kern w:val="0"/>
          <w:sz w:val="32"/>
          <w:szCs w:val="32"/>
        </w:rPr>
        <w:t>个</w:t>
      </w:r>
      <w:r>
        <w:rPr>
          <w:rFonts w:hint="eastAsia" w:ascii="CESI仿宋-GB2312" w:hAnsi="CESI仿宋-GB2312" w:eastAsia="CESI仿宋-GB2312" w:cs="CESI仿宋-GB2312"/>
          <w:kern w:val="0"/>
          <w:sz w:val="32"/>
          <w:szCs w:val="32"/>
          <w:lang w:val="en-US" w:eastAsia="zh-CN"/>
        </w:rPr>
        <w:t>370.23</w:t>
      </w:r>
      <w:r>
        <w:rPr>
          <w:rFonts w:hint="eastAsia" w:ascii="CESI仿宋-GB2312" w:hAnsi="CESI仿宋-GB2312" w:eastAsia="CESI仿宋-GB2312" w:cs="CESI仿宋-GB2312"/>
          <w:kern w:val="0"/>
          <w:sz w:val="32"/>
          <w:szCs w:val="32"/>
        </w:rPr>
        <w:t>万元，占一般公共预算支出总额的</w:t>
      </w:r>
      <w:r>
        <w:rPr>
          <w:rFonts w:hint="eastAsia" w:ascii="CESI仿宋-GB2312" w:hAnsi="CESI仿宋-GB2312" w:eastAsia="CESI仿宋-GB2312" w:cs="CESI仿宋-GB2312"/>
          <w:kern w:val="0"/>
          <w:sz w:val="32"/>
          <w:szCs w:val="32"/>
          <w:lang w:val="en-US" w:eastAsia="zh-CN"/>
        </w:rPr>
        <w:t>58.11</w:t>
      </w:r>
      <w:r>
        <w:rPr>
          <w:rFonts w:hint="eastAsia" w:ascii="CESI仿宋-GB2312" w:hAnsi="CESI仿宋-GB2312" w:eastAsia="CESI仿宋-GB2312" w:cs="CESI仿宋-GB2312"/>
          <w:kern w:val="0"/>
          <w:sz w:val="32"/>
          <w:szCs w:val="32"/>
        </w:rPr>
        <w:t>%；</w:t>
      </w:r>
      <w:r>
        <w:rPr>
          <w:rFonts w:hint="eastAsia" w:ascii="CESI仿宋-GB2312" w:hAnsi="CESI仿宋-GB2312" w:eastAsia="CESI仿宋-GB2312" w:cs="CESI仿宋-GB2312"/>
          <w:kern w:val="0"/>
          <w:sz w:val="32"/>
          <w:szCs w:val="32"/>
          <w:lang w:val="en-US" w:eastAsia="zh-CN"/>
        </w:rPr>
        <w:t>本单位无</w:t>
      </w:r>
      <w:r>
        <w:rPr>
          <w:rFonts w:hint="eastAsia" w:ascii="CESI仿宋-GB2312" w:hAnsi="CESI仿宋-GB2312" w:eastAsia="CESI仿宋-GB2312" w:cs="CESI仿宋-GB2312"/>
          <w:kern w:val="0"/>
          <w:sz w:val="32"/>
          <w:szCs w:val="32"/>
        </w:rPr>
        <w:t>政府性基金预算项目</w:t>
      </w:r>
      <w:r>
        <w:rPr>
          <w:rFonts w:hint="eastAsia" w:ascii="CESI仿宋-GB2312" w:hAnsi="CESI仿宋-GB2312" w:eastAsia="CESI仿宋-GB2312" w:cs="CESI仿宋-GB2312"/>
          <w:kern w:val="0"/>
          <w:sz w:val="32"/>
          <w:szCs w:val="32"/>
          <w:lang w:eastAsia="zh-CN"/>
        </w:rPr>
        <w:t>、</w:t>
      </w:r>
      <w:r>
        <w:rPr>
          <w:rFonts w:hint="eastAsia" w:ascii="CESI仿宋-GB2312" w:hAnsi="CESI仿宋-GB2312" w:eastAsia="CESI仿宋-GB2312" w:cs="CESI仿宋-GB2312"/>
          <w:kern w:val="0"/>
          <w:sz w:val="32"/>
          <w:szCs w:val="32"/>
        </w:rPr>
        <w:t>国有资本经营预算项目</w:t>
      </w:r>
      <w:r>
        <w:rPr>
          <w:rFonts w:hint="eastAsia" w:ascii="CESI仿宋-GB2312" w:hAnsi="CESI仿宋-GB2312" w:eastAsia="CESI仿宋-GB2312" w:cs="CESI仿宋-GB2312"/>
          <w:kern w:val="0"/>
          <w:sz w:val="32"/>
          <w:szCs w:val="32"/>
          <w:lang w:val="en-US" w:eastAsia="zh-CN"/>
        </w:rPr>
        <w:t>和</w:t>
      </w:r>
      <w:r>
        <w:rPr>
          <w:rFonts w:hint="eastAsia" w:ascii="CESI仿宋-GB2312" w:hAnsi="CESI仿宋-GB2312" w:eastAsia="CESI仿宋-GB2312" w:cs="CESI仿宋-GB2312"/>
          <w:kern w:val="0"/>
          <w:sz w:val="32"/>
          <w:szCs w:val="32"/>
          <w:highlight w:val="none"/>
        </w:rPr>
        <w:t>社会保险基金预算项目预算支出</w:t>
      </w:r>
      <w:r>
        <w:rPr>
          <w:rFonts w:hint="eastAsia" w:ascii="CESI仿宋-GB2312" w:hAnsi="CESI仿宋-GB2312" w:eastAsia="CESI仿宋-GB2312" w:cs="CESI仿宋-GB2312"/>
          <w:kern w:val="0"/>
          <w:sz w:val="32"/>
          <w:szCs w:val="32"/>
          <w:highlight w:val="none"/>
          <w:lang w:eastAsia="zh-CN"/>
        </w:rPr>
        <w:t>。</w:t>
      </w:r>
    </w:p>
    <w:p w14:paraId="3BCE4C44">
      <w:pPr>
        <w:keepNext w:val="0"/>
        <w:keepLines w:val="0"/>
        <w:pageBreakBefore w:val="0"/>
        <w:kinsoku/>
        <w:wordWrap/>
        <w:topLinePunct w:val="0"/>
        <w:bidi w:val="0"/>
        <w:spacing w:line="600" w:lineRule="exact"/>
        <w:ind w:firstLine="664" w:firstLineChars="200"/>
        <w:textAlignment w:val="auto"/>
        <w:rPr>
          <w:rFonts w:hint="eastAsia" w:ascii="CESI仿宋-GB2312" w:hAnsi="CESI仿宋-GB2312" w:eastAsia="CESI仿宋-GB2312" w:cs="CESI仿宋-GB2312"/>
          <w:color w:val="000000"/>
          <w:spacing w:val="6"/>
          <w:kern w:val="0"/>
          <w:sz w:val="32"/>
          <w:szCs w:val="32"/>
          <w:lang w:val="en-US" w:eastAsia="zh-CN"/>
        </w:rPr>
      </w:pPr>
      <w:r>
        <w:rPr>
          <w:rFonts w:hint="eastAsia" w:ascii="CESI仿宋-GB2312" w:hAnsi="CESI仿宋-GB2312" w:eastAsia="CESI仿宋-GB2312" w:cs="CESI仿宋-GB2312"/>
          <w:color w:val="000000"/>
          <w:spacing w:val="6"/>
          <w:kern w:val="0"/>
          <w:sz w:val="32"/>
          <w:szCs w:val="32"/>
          <w:lang w:val="en-US" w:eastAsia="zh-CN"/>
        </w:rPr>
        <w:t>2025年，我中心深入贯彻落实习近平生态文明思想，</w:t>
      </w:r>
      <w:r>
        <w:rPr>
          <w:rFonts w:hint="eastAsia" w:ascii="CESI仿宋-GB2312" w:hAnsi="CESI仿宋-GB2312" w:eastAsia="CESI仿宋-GB2312" w:cs="CESI仿宋-GB2312"/>
          <w:kern w:val="0"/>
          <w:sz w:val="32"/>
          <w:szCs w:val="32"/>
          <w:lang w:val="en-US" w:eastAsia="zh-CN"/>
        </w:rPr>
        <w:t>在市委、市政府及城管局党组的坚强领导下，</w:t>
      </w:r>
      <w:r>
        <w:rPr>
          <w:rFonts w:hint="eastAsia" w:ascii="CESI仿宋-GB2312" w:hAnsi="CESI仿宋-GB2312" w:eastAsia="CESI仿宋-GB2312" w:cs="CESI仿宋-GB2312"/>
          <w:color w:val="000000"/>
          <w:spacing w:val="6"/>
          <w:kern w:val="0"/>
          <w:sz w:val="32"/>
          <w:szCs w:val="32"/>
          <w:lang w:val="en-US" w:eastAsia="zh-CN"/>
        </w:rPr>
        <w:t>紧密围绕“1376”总体规划和“六大城管”核心理念，以队伍建设为基础，以责任担当为驱动，全力推动我市垃圾分类末端处置工作健康、稳定、可持续发展。主要业务工作进展如下：一是持续夯实监管服务根基，通过完善制度与绩效考评，以班子带班机制对园区消防、环保及生产设施全覆盖巡查，主动对接职能部门协助企业解难，同步优化配套设施，化解矛盾诉求，保障园区平稳运行。二是聚焦垃圾焚烧发电提质与资源化利用，统筹处置量保持高位，设备技改推动发电效率提升，绿色电力贡献突出，同时延伸热能供应至医废处置和工业园区，实现环境与经济效益协同。三是厨余垃圾处置项目成熟运营，收运体系日趋完善，通过优化预处理与发酵工艺，资源化收益可观，逐步构建应收尽收、高效转化、效益多元的可持续发展模式，有力地支撑垃圾分类工作。四是医疗废物闭环管理体系全面建立，前端专人收集、台账溯源，中端密闭转运及全程轨迹监控，末端规范消毒、残渣入炉焚烧，层层把关，全年安全处置平稳有序，初步形成监管有力、运营专业、保障可持续的治理新范式，筑牢公共卫生防线。五是统筹飞灰规范填埋与外运处置，落实环境监测与问题整改，保障填埋场有序运行，并按污染防治要求启动全量化外运，确保固废全链条绿色可持续。总体来看，我中心通过设施升级、链条延伸与管理创新，已初步构建了安全、绿色、高效的固废治理与公共服务体系，为城市高质量发展奠定了坚实基础。</w:t>
      </w:r>
    </w:p>
    <w:p w14:paraId="3EC5329E">
      <w:pPr>
        <w:keepNext w:val="0"/>
        <w:keepLines w:val="0"/>
        <w:pageBreakBefore w:val="0"/>
        <w:numPr>
          <w:ilvl w:val="0"/>
          <w:numId w:val="0"/>
        </w:numPr>
        <w:kinsoku/>
        <w:wordWrap/>
        <w:overflowPunct w:val="0"/>
        <w:topLinePunct w:val="0"/>
        <w:bidi w:val="0"/>
        <w:spacing w:line="600" w:lineRule="exact"/>
        <w:ind w:firstLine="640" w:firstLineChars="200"/>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b/>
          <w:bCs/>
          <w:kern w:val="0"/>
          <w:sz w:val="32"/>
          <w:szCs w:val="32"/>
          <w:lang w:val="en-US" w:eastAsia="zh-CN"/>
        </w:rPr>
        <w:t>2.</w:t>
      </w:r>
      <w:r>
        <w:rPr>
          <w:rFonts w:hint="eastAsia" w:ascii="CESI仿宋-GB2312" w:hAnsi="CESI仿宋-GB2312" w:eastAsia="CESI仿宋-GB2312" w:cs="CESI仿宋-GB2312"/>
          <w:b/>
          <w:bCs/>
          <w:kern w:val="0"/>
          <w:sz w:val="32"/>
          <w:szCs w:val="32"/>
        </w:rPr>
        <w:t>部门评价开展情况。</w:t>
      </w:r>
      <w:r>
        <w:rPr>
          <w:rFonts w:hint="eastAsia" w:ascii="CESI仿宋-GB2312" w:hAnsi="CESI仿宋-GB2312" w:eastAsia="CESI仿宋-GB2312" w:cs="CESI仿宋-GB2312"/>
          <w:color w:val="auto"/>
          <w:kern w:val="0"/>
          <w:sz w:val="32"/>
          <w:szCs w:val="32"/>
          <w:lang w:val="en-US" w:eastAsia="zh-CN"/>
        </w:rPr>
        <w:t>本单位为二级预算单位，部门评价开展情况可详见上级部门决算公开说明。</w:t>
      </w:r>
    </w:p>
    <w:p w14:paraId="0D91720D">
      <w:pPr>
        <w:keepNext w:val="0"/>
        <w:keepLines w:val="0"/>
        <w:pageBreakBefore w:val="0"/>
        <w:kinsoku/>
        <w:wordWrap/>
        <w:overflowPunct w:val="0"/>
        <w:topLinePunct w:val="0"/>
        <w:bidi w:val="0"/>
        <w:spacing w:line="600" w:lineRule="exact"/>
        <w:ind w:firstLine="640" w:firstLineChars="200"/>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kern w:val="0"/>
          <w:sz w:val="32"/>
          <w:szCs w:val="32"/>
          <w:lang w:val="en-US" w:eastAsia="zh-CN"/>
        </w:rPr>
        <w:t>3.</w:t>
      </w:r>
      <w:r>
        <w:rPr>
          <w:rFonts w:hint="eastAsia" w:ascii="CESI仿宋-GB2312" w:hAnsi="CESI仿宋-GB2312" w:eastAsia="CESI仿宋-GB2312" w:cs="CESI仿宋-GB2312"/>
          <w:b/>
          <w:bCs/>
          <w:kern w:val="0"/>
          <w:sz w:val="32"/>
          <w:szCs w:val="32"/>
        </w:rPr>
        <w:t>事前绩效评估开展情况。</w:t>
      </w:r>
      <w:r>
        <w:rPr>
          <w:rFonts w:hint="eastAsia" w:ascii="CESI仿宋-GB2312" w:hAnsi="CESI仿宋-GB2312" w:eastAsia="CESI仿宋-GB2312" w:cs="CESI仿宋-GB2312"/>
          <w:color w:val="auto"/>
          <w:kern w:val="0"/>
          <w:sz w:val="32"/>
          <w:szCs w:val="32"/>
          <w:lang w:val="en-US" w:eastAsia="zh-CN"/>
        </w:rPr>
        <w:t>本单位为二级预算单位，事前绩效评估开展情况可详见上级部门决算公开说明。</w:t>
      </w:r>
    </w:p>
    <w:p w14:paraId="4BC145AD">
      <w:pPr>
        <w:keepNext w:val="0"/>
        <w:keepLines w:val="0"/>
        <w:pageBreakBefore w:val="0"/>
        <w:kinsoku/>
        <w:wordWrap/>
        <w:overflowPunct w:val="0"/>
        <w:topLinePunct w:val="0"/>
        <w:bidi w:val="0"/>
        <w:spacing w:line="600" w:lineRule="exact"/>
        <w:ind w:firstLine="640" w:firstLineChars="200"/>
        <w:textAlignment w:val="auto"/>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3FB6BBC2">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b/>
          <w:bCs/>
          <w:kern w:val="0"/>
          <w:sz w:val="32"/>
          <w:szCs w:val="32"/>
          <w:lang w:val="en-US" w:eastAsia="zh-CN"/>
        </w:rPr>
        <w:t>1.</w:t>
      </w:r>
      <w:r>
        <w:rPr>
          <w:rFonts w:hint="eastAsia" w:ascii="CESI仿宋-GB2312" w:hAnsi="CESI仿宋-GB2312" w:eastAsia="CESI仿宋-GB2312" w:cs="CESI仿宋-GB2312"/>
          <w:b/>
          <w:bCs/>
          <w:kern w:val="0"/>
          <w:sz w:val="32"/>
          <w:szCs w:val="32"/>
        </w:rPr>
        <w:t>绩效自评结果。</w:t>
      </w:r>
      <w:r>
        <w:rPr>
          <w:rFonts w:hint="eastAsia" w:ascii="CESI仿宋-GB2312" w:hAnsi="CESI仿宋-GB2312" w:eastAsia="CESI仿宋-GB2312" w:cs="CESI仿宋-GB2312"/>
          <w:kern w:val="0"/>
          <w:sz w:val="32"/>
          <w:szCs w:val="32"/>
        </w:rPr>
        <w:t>202</w:t>
      </w:r>
      <w:r>
        <w:rPr>
          <w:rFonts w:hint="eastAsia" w:ascii="CESI仿宋-GB2312" w:hAnsi="CESI仿宋-GB2312" w:eastAsia="CESI仿宋-GB2312" w:cs="CESI仿宋-GB2312"/>
          <w:kern w:val="0"/>
          <w:sz w:val="32"/>
          <w:szCs w:val="32"/>
          <w:lang w:val="en-US" w:eastAsia="zh-CN"/>
        </w:rPr>
        <w:t>5</w:t>
      </w:r>
      <w:r>
        <w:rPr>
          <w:rFonts w:hint="eastAsia" w:ascii="CESI仿宋-GB2312" w:hAnsi="CESI仿宋-GB2312" w:eastAsia="CESI仿宋-GB2312" w:cs="CESI仿宋-GB2312"/>
          <w:kern w:val="0"/>
          <w:sz w:val="32"/>
          <w:szCs w:val="32"/>
        </w:rPr>
        <w:t>年度本单位整体支出</w:t>
      </w:r>
      <w:r>
        <w:rPr>
          <w:rFonts w:hint="eastAsia" w:ascii="CESI仿宋-GB2312" w:hAnsi="CESI仿宋-GB2312" w:eastAsia="CESI仿宋-GB2312" w:cs="CESI仿宋-GB2312"/>
          <w:sz w:val="32"/>
          <w:szCs w:val="32"/>
        </w:rPr>
        <w:t>全年预算数</w:t>
      </w:r>
      <w:r>
        <w:rPr>
          <w:rFonts w:hint="eastAsia" w:ascii="CESI仿宋-GB2312" w:hAnsi="CESI仿宋-GB2312" w:eastAsia="CESI仿宋-GB2312" w:cs="CESI仿宋-GB2312"/>
          <w:sz w:val="32"/>
          <w:szCs w:val="32"/>
          <w:lang w:val="en-US" w:eastAsia="zh-CN"/>
        </w:rPr>
        <w:t>654.29</w:t>
      </w:r>
      <w:r>
        <w:rPr>
          <w:rFonts w:hint="eastAsia" w:ascii="CESI仿宋-GB2312" w:hAnsi="CESI仿宋-GB2312" w:eastAsia="CESI仿宋-GB2312" w:cs="CESI仿宋-GB2312"/>
          <w:sz w:val="32"/>
          <w:szCs w:val="32"/>
        </w:rPr>
        <w:t>万元，执行数</w:t>
      </w:r>
      <w:r>
        <w:rPr>
          <w:rFonts w:hint="eastAsia" w:ascii="CESI仿宋-GB2312" w:hAnsi="CESI仿宋-GB2312" w:eastAsia="CESI仿宋-GB2312" w:cs="CESI仿宋-GB2312"/>
          <w:sz w:val="32"/>
          <w:szCs w:val="32"/>
          <w:lang w:val="en-US" w:eastAsia="zh-CN"/>
        </w:rPr>
        <w:t>637.11</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97.37</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kern w:val="0"/>
          <w:sz w:val="32"/>
          <w:szCs w:val="32"/>
        </w:rPr>
        <w:t>，绩效自评得分</w:t>
      </w:r>
      <w:r>
        <w:rPr>
          <w:rFonts w:hint="eastAsia" w:ascii="CESI仿宋-GB2312" w:hAnsi="CESI仿宋-GB2312" w:eastAsia="CESI仿宋-GB2312" w:cs="CESI仿宋-GB2312"/>
          <w:sz w:val="32"/>
          <w:szCs w:val="32"/>
          <w:lang w:val="en-US" w:eastAsia="zh-CN"/>
        </w:rPr>
        <w:t>97.70</w:t>
      </w:r>
      <w:r>
        <w:rPr>
          <w:rFonts w:hint="eastAsia" w:ascii="CESI仿宋-GB2312" w:hAnsi="CESI仿宋-GB2312" w:eastAsia="CESI仿宋-GB2312" w:cs="CESI仿宋-GB2312"/>
          <w:sz w:val="32"/>
          <w:szCs w:val="32"/>
        </w:rPr>
        <w:t>分</w:t>
      </w:r>
      <w:r>
        <w:rPr>
          <w:rFonts w:hint="eastAsia" w:ascii="CESI仿宋-GB2312" w:hAnsi="CESI仿宋-GB2312" w:eastAsia="CESI仿宋-GB2312" w:cs="CESI仿宋-GB2312"/>
          <w:kern w:val="0"/>
          <w:sz w:val="32"/>
          <w:szCs w:val="32"/>
        </w:rPr>
        <w:t>，评价等级为</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val="en-US" w:eastAsia="zh-CN"/>
        </w:rPr>
        <w:t>优秀</w:t>
      </w:r>
      <w:r>
        <w:rPr>
          <w:rFonts w:hint="eastAsia" w:ascii="CESI仿宋-GB2312" w:hAnsi="CESI仿宋-GB2312" w:eastAsia="CESI仿宋-GB2312" w:cs="CESI仿宋-GB2312"/>
          <w:sz w:val="32"/>
          <w:szCs w:val="32"/>
        </w:rPr>
        <w:t>”。</w:t>
      </w:r>
    </w:p>
    <w:p w14:paraId="53959C83">
      <w:pPr>
        <w:keepNext w:val="0"/>
        <w:keepLines w:val="0"/>
        <w:pageBreakBefore w:val="0"/>
        <w:kinsoku/>
        <w:wordWrap/>
        <w:topLinePunct w:val="0"/>
        <w:bidi w:val="0"/>
        <w:spacing w:line="600" w:lineRule="exact"/>
        <w:ind w:firstLine="640" w:firstLineChars="200"/>
        <w:textAlignment w:val="auto"/>
        <w:rPr>
          <w:rFonts w:hint="eastAsia" w:ascii="CESI仿宋-GB2312" w:hAnsi="CESI仿宋-GB2312" w:eastAsia="CESI仿宋-GB2312" w:cs="CESI仿宋-GB2312"/>
          <w:color w:val="000000"/>
          <w:kern w:val="0"/>
          <w:sz w:val="32"/>
          <w:szCs w:val="32"/>
          <w:lang w:val="en-US" w:eastAsia="zh-CN" w:bidi="ar-SA"/>
        </w:rPr>
      </w:pPr>
      <w:r>
        <w:rPr>
          <w:rFonts w:hint="eastAsia" w:ascii="CESI仿宋-GB2312" w:hAnsi="CESI仿宋-GB2312" w:eastAsia="CESI仿宋-GB2312" w:cs="CESI仿宋-GB2312"/>
          <w:sz w:val="32"/>
          <w:szCs w:val="32"/>
        </w:rPr>
        <w:t>绩效目标完成情况：一是</w:t>
      </w:r>
      <w:r>
        <w:rPr>
          <w:rFonts w:hint="eastAsia" w:ascii="CESI仿宋-GB2312" w:hAnsi="CESI仿宋-GB2312" w:eastAsia="CESI仿宋-GB2312" w:cs="CESI仿宋-GB2312"/>
          <w:color w:val="auto"/>
          <w:sz w:val="32"/>
          <w:szCs w:val="32"/>
          <w:highlight w:val="none"/>
        </w:rPr>
        <w:t>市生活垃圾焚烧</w:t>
      </w:r>
      <w:r>
        <w:rPr>
          <w:rFonts w:hint="eastAsia" w:ascii="CESI仿宋-GB2312" w:hAnsi="CESI仿宋-GB2312" w:eastAsia="CESI仿宋-GB2312" w:cs="CESI仿宋-GB2312"/>
          <w:color w:val="auto"/>
          <w:kern w:val="0"/>
          <w:sz w:val="32"/>
          <w:szCs w:val="32"/>
          <w:highlight w:val="none"/>
          <w:lang w:val="en-US" w:eastAsia="zh-CN" w:bidi="ar-SA"/>
        </w:rPr>
        <w:t>发电</w:t>
      </w:r>
      <w:r>
        <w:rPr>
          <w:rFonts w:hint="eastAsia" w:ascii="CESI仿宋-GB2312" w:hAnsi="CESI仿宋-GB2312" w:eastAsia="CESI仿宋-GB2312" w:cs="CESI仿宋-GB2312"/>
          <w:color w:val="000000"/>
          <w:kern w:val="0"/>
          <w:sz w:val="32"/>
          <w:szCs w:val="32"/>
          <w:highlight w:val="none"/>
          <w:lang w:val="en-US" w:eastAsia="zh-CN" w:bidi="ar-SA"/>
        </w:rPr>
        <w:t>项目，</w:t>
      </w:r>
      <w:r>
        <w:rPr>
          <w:rFonts w:hint="eastAsia" w:ascii="CESI仿宋-GB2312" w:hAnsi="CESI仿宋-GB2312" w:eastAsia="CESI仿宋-GB2312" w:cs="CESI仿宋-GB2312"/>
          <w:color w:val="000000"/>
          <w:kern w:val="0"/>
          <w:sz w:val="32"/>
          <w:szCs w:val="32"/>
          <w:lang w:val="en-US" w:eastAsia="zh-CN" w:bidi="ar-SA"/>
        </w:rPr>
        <w:t>随着垃圾分类工作不断推进，全民参与前端分类收集与利用，使生活垃圾从源头开始实现了减量化，2025年统筹范围内共处置生活垃圾近52万吨（其中：中心城区约40.5万吨、岳阳县2.41万吨、临湘市约7.64万吨，入厂量约1420吨/天），较2024年入厂量下降4%。但企业通过对运营设备维修升级，提升了垃圾发电量，上网电量约1.9亿度，相当于节约标准煤约2.35万吨，对绿色电力贡献突出。同时，随着循环经济的深入推进，焚烧不再仅是减量与发电，其资源化链条正在不断延伸，生活垃圾焚烧的热能除供电外，逐步向医废处置、中非工业园供应蒸汽，年供汽1800余吨；二是</w:t>
      </w:r>
      <w:r>
        <w:rPr>
          <w:rFonts w:hint="eastAsia" w:ascii="CESI仿宋-GB2312" w:hAnsi="CESI仿宋-GB2312" w:eastAsia="CESI仿宋-GB2312" w:cs="CESI仿宋-GB2312"/>
          <w:color w:val="auto"/>
          <w:kern w:val="0"/>
          <w:sz w:val="32"/>
          <w:szCs w:val="32"/>
          <w:highlight w:val="none"/>
          <w:lang w:val="en-US" w:eastAsia="zh-CN" w:bidi="ar-SA"/>
        </w:rPr>
        <w:t>罗家坳无害化处理场2025年度截至目前填埋区共埋飞灰约超过8万吨，剩余库容约36万m³。渗滤液处理后全部达标排放；</w:t>
      </w:r>
      <w:r>
        <w:rPr>
          <w:rFonts w:hint="eastAsia" w:ascii="CESI仿宋-GB2312" w:hAnsi="CESI仿宋-GB2312" w:eastAsia="CESI仿宋-GB2312" w:cs="CESI仿宋-GB2312"/>
          <w:color w:val="000000"/>
          <w:kern w:val="0"/>
          <w:sz w:val="32"/>
          <w:szCs w:val="32"/>
          <w:lang w:val="en-US" w:eastAsia="zh-CN" w:bidi="ar-SA"/>
        </w:rPr>
        <w:t>三是</w:t>
      </w:r>
      <w:r>
        <w:rPr>
          <w:rFonts w:hint="eastAsia" w:ascii="CESI仿宋-GB2312" w:hAnsi="CESI仿宋-GB2312" w:eastAsia="CESI仿宋-GB2312" w:cs="CESI仿宋-GB2312"/>
          <w:color w:val="000000"/>
          <w:kern w:val="0"/>
          <w:sz w:val="32"/>
          <w:szCs w:val="32"/>
          <w:highlight w:val="none"/>
          <w:lang w:val="en-US" w:eastAsia="zh-CN" w:bidi="ar-SA"/>
        </w:rPr>
        <w:t>厨余垃圾资源化利用和无害化处理项目，</w:t>
      </w:r>
      <w:r>
        <w:rPr>
          <w:rFonts w:hint="eastAsia" w:ascii="CESI仿宋-GB2312" w:hAnsi="CESI仿宋-GB2312" w:eastAsia="CESI仿宋-GB2312" w:cs="CESI仿宋-GB2312"/>
          <w:color w:val="000000"/>
          <w:kern w:val="0"/>
          <w:sz w:val="32"/>
          <w:szCs w:val="32"/>
          <w:lang w:val="en-US" w:eastAsia="zh-CN" w:bidi="ar-SA"/>
        </w:rPr>
        <w:t>厨余垃圾稳定在150吨，收集提炼地沟油0.85吨，全年累计处置厨余垃圾约5.28万吨、地沟油约171.56吨。通过优化预处理与厌氧发酵工艺，全年产出餐厨油1969.1吨，资源化产品实现收益3388.15万元。</w:t>
      </w:r>
    </w:p>
    <w:p w14:paraId="1F9791B4">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CESI仿宋-GB2312" w:hAnsi="CESI仿宋-GB2312" w:eastAsia="CESI仿宋-GB2312" w:cs="CESI仿宋-GB2312"/>
          <w:bCs/>
          <w:kern w:val="0"/>
          <w:sz w:val="32"/>
          <w:szCs w:val="32"/>
          <w:lang w:val="en-US" w:eastAsia="zh-CN" w:bidi="ar-SA"/>
        </w:rPr>
      </w:pPr>
      <w:r>
        <w:rPr>
          <w:rFonts w:hint="eastAsia" w:ascii="CESI仿宋-GB2312" w:hAnsi="CESI仿宋-GB2312" w:eastAsia="CESI仿宋-GB2312" w:cs="CESI仿宋-GB2312"/>
          <w:sz w:val="32"/>
          <w:szCs w:val="32"/>
        </w:rPr>
        <w:t>发现的主要问题及原因：</w:t>
      </w:r>
      <w:r>
        <w:rPr>
          <w:rFonts w:hint="eastAsia" w:ascii="CESI仿宋-GB2312" w:hAnsi="CESI仿宋-GB2312" w:eastAsia="CESI仿宋-GB2312" w:cs="CESI仿宋-GB2312"/>
          <w:sz w:val="32"/>
          <w:szCs w:val="32"/>
          <w:lang w:eastAsia="zh-CN"/>
        </w:rPr>
        <w:t>一是</w:t>
      </w:r>
      <w:r>
        <w:rPr>
          <w:rFonts w:hint="eastAsia" w:ascii="CESI仿宋-GB2312" w:hAnsi="CESI仿宋-GB2312" w:eastAsia="CESI仿宋-GB2312" w:cs="CESI仿宋-GB2312"/>
          <w:bCs/>
          <w:kern w:val="0"/>
          <w:sz w:val="32"/>
          <w:szCs w:val="32"/>
          <w:lang w:val="en-US" w:eastAsia="zh-CN" w:bidi="ar-SA"/>
        </w:rPr>
        <w:t>目前，部分企业在参与公共事务方面主动性不足，多聚焦于自身生产“红线”范围内的事务。由于缺乏制度化的联动机制，信息与资源优势未能充分整合，对整体管理效能的提升产生了一定影响；二是社会各界对公共环境的期望不断提高，而企业在经济性运营上面临现实压力。特别是在日常运营及异味治理等环节，仍需各方共同努力，平衡好环境效益与经济诉求，持续提升精细化管理水平；三是受当前政策、市场、技术及地域条件等多重因素影响，炉渣、飞灰、供热供汽等副产物的综合利用价值尚未充分发挥，园区内部的物质循环与能源梯级利用规模有待进一步拓展和深化；四是目前，干部队伍专业力量相对薄弱，部分岗位存在一人多岗现象，导致知识技能结构较为分散，系统性专业能力尚显不足。同时，预算绩效目标编制规范性有待提高，指标之间的关联性与可衡量性需进一步增强。主要原因在于，绩效管理工作目前由财务部门兼任，相关人员多为会计、财务管理等专业背景。而有效的绩效管理除了财经知识外，还需要熟悉政策与具体项目业务，并具备管理学、法学、统计学、工程学等多学科知识，现有知识结构难以完全满足工作要求。</w:t>
      </w:r>
    </w:p>
    <w:p w14:paraId="119EC905">
      <w:pPr>
        <w:keepNext w:val="0"/>
        <w:keepLines w:val="0"/>
        <w:pageBreakBefore w:val="0"/>
        <w:kinsoku/>
        <w:wordWrap/>
        <w:overflowPunct w:val="0"/>
        <w:topLinePunct w:val="0"/>
        <w:bidi w:val="0"/>
        <w:spacing w:line="600" w:lineRule="exact"/>
        <w:textAlignment w:val="auto"/>
        <w:rPr>
          <w:rFonts w:hint="eastAsia" w:ascii="CESI仿宋-GB2312" w:hAnsi="CESI仿宋-GB2312" w:eastAsia="CESI仿宋-GB2312" w:cs="CESI仿宋-GB2312"/>
          <w:kern w:val="0"/>
          <w:sz w:val="32"/>
          <w:szCs w:val="32"/>
          <w:lang w:val="en-US" w:eastAsia="zh-CN"/>
        </w:rPr>
      </w:pPr>
      <w:r>
        <w:rPr>
          <w:rFonts w:hint="eastAsia" w:ascii="CESI仿宋-GB2312" w:hAnsi="CESI仿宋-GB2312" w:eastAsia="CESI仿宋-GB2312" w:cs="CESI仿宋-GB2312"/>
          <w:sz w:val="32"/>
          <w:szCs w:val="32"/>
        </w:rPr>
        <w:t>下一步改进措施：</w:t>
      </w:r>
      <w:r>
        <w:rPr>
          <w:rFonts w:hint="eastAsia" w:ascii="CESI仿宋-GB2312" w:hAnsi="CESI仿宋-GB2312" w:eastAsia="CESI仿宋-GB2312" w:cs="CESI仿宋-GB2312"/>
          <w:sz w:val="32"/>
          <w:szCs w:val="32"/>
          <w:lang w:val="en-US" w:eastAsia="zh-CN"/>
        </w:rPr>
        <w:t>一是</w:t>
      </w:r>
      <w:r>
        <w:rPr>
          <w:rFonts w:hint="eastAsia" w:ascii="CESI仿宋-GB2312" w:hAnsi="CESI仿宋-GB2312" w:eastAsia="CESI仿宋-GB2312" w:cs="CESI仿宋-GB2312"/>
          <w:kern w:val="0"/>
          <w:sz w:val="32"/>
          <w:szCs w:val="32"/>
          <w:lang w:val="en-US" w:eastAsia="zh-CN"/>
        </w:rPr>
        <w:t>强化联动考评，完善园区制度，建立工作群、责任清单联动机制；细化量化企业考核，推行“按效付费”，激发企业动力，引导项目良性发展。二是精准服务协同配合环保、住建、消防等部门，助企完善全流程管控，治理无组织排放和异味，落实应急设施与演练；开展环境公开、公众开放日；对接区镇政府化解“邻避”矛盾；规范数据报送；对接市财政推动补贴拨付，优化营商环境。三是内优外拓循环，优化园区设施规划，配合推进建筑垃圾分拣、飞灰资源化利用；拓展炉渣综合利用、供汽供热等副产品市场，提升资源能源效率，促进可持续发展。四是引培并举绩效，多渠道引才，优化岗位配置，加强专业培训；强化预算绩效培训与意识，鼓励一线调研，优化绩效目标，深化财务业务融合，增强预算约束，提升支出绩效。</w:t>
      </w:r>
    </w:p>
    <w:p w14:paraId="086EF6F6">
      <w:pPr>
        <w:keepNext w:val="0"/>
        <w:keepLines w:val="0"/>
        <w:pageBreakBefore w:val="0"/>
        <w:kinsoku/>
        <w:wordWrap/>
        <w:overflowPunct w:val="0"/>
        <w:topLinePunct w:val="0"/>
        <w:bidi w:val="0"/>
        <w:spacing w:line="600" w:lineRule="exact"/>
        <w:ind w:firstLine="640" w:firstLineChars="200"/>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b/>
          <w:bCs/>
          <w:kern w:val="0"/>
          <w:sz w:val="32"/>
          <w:szCs w:val="32"/>
          <w:lang w:val="en-US" w:eastAsia="zh-CN"/>
        </w:rPr>
        <w:t>2.</w:t>
      </w:r>
      <w:r>
        <w:rPr>
          <w:rFonts w:hint="eastAsia" w:ascii="CESI仿宋-GB2312" w:hAnsi="CESI仿宋-GB2312" w:eastAsia="CESI仿宋-GB2312" w:cs="CESI仿宋-GB2312"/>
          <w:b/>
          <w:bCs/>
          <w:kern w:val="0"/>
          <w:sz w:val="32"/>
          <w:szCs w:val="32"/>
        </w:rPr>
        <w:t>部门评价结果。</w:t>
      </w:r>
      <w:r>
        <w:rPr>
          <w:rFonts w:hint="eastAsia" w:ascii="CESI仿宋-GB2312" w:hAnsi="CESI仿宋-GB2312" w:eastAsia="CESI仿宋-GB2312" w:cs="CESI仿宋-GB2312"/>
          <w:color w:val="auto"/>
          <w:kern w:val="0"/>
          <w:sz w:val="32"/>
          <w:szCs w:val="32"/>
          <w:lang w:val="en-US" w:eastAsia="zh-CN"/>
        </w:rPr>
        <w:t>本单位为二级预算单位，部门评价结果可详见上级部门决算公开说明。</w:t>
      </w:r>
    </w:p>
    <w:p w14:paraId="13EC95D3">
      <w:pPr>
        <w:keepNext w:val="0"/>
        <w:keepLines w:val="0"/>
        <w:pageBreakBefore w:val="0"/>
        <w:kinsoku/>
        <w:wordWrap/>
        <w:overflowPunct w:val="0"/>
        <w:topLinePunct w:val="0"/>
        <w:bidi w:val="0"/>
        <w:spacing w:line="600" w:lineRule="exact"/>
        <w:ind w:firstLine="640" w:firstLineChars="200"/>
        <w:textAlignment w:val="auto"/>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b/>
          <w:bCs/>
          <w:kern w:val="0"/>
          <w:sz w:val="32"/>
          <w:szCs w:val="32"/>
          <w:lang w:val="en-US" w:eastAsia="zh-CN"/>
        </w:rPr>
        <w:t>3.</w:t>
      </w:r>
      <w:r>
        <w:rPr>
          <w:rFonts w:hint="eastAsia" w:ascii="CESI仿宋-GB2312" w:hAnsi="CESI仿宋-GB2312" w:eastAsia="CESI仿宋-GB2312" w:cs="CESI仿宋-GB2312"/>
          <w:b/>
          <w:bCs/>
          <w:kern w:val="0"/>
          <w:sz w:val="32"/>
          <w:szCs w:val="32"/>
          <w:highlight w:val="none"/>
          <w:lang w:val="en-US" w:eastAsia="zh-CN"/>
        </w:rPr>
        <w:t>事</w:t>
      </w:r>
      <w:r>
        <w:rPr>
          <w:rFonts w:hint="eastAsia" w:ascii="CESI仿宋-GB2312" w:hAnsi="CESI仿宋-GB2312" w:eastAsia="CESI仿宋-GB2312" w:cs="CESI仿宋-GB2312"/>
          <w:b/>
          <w:bCs/>
          <w:kern w:val="0"/>
          <w:sz w:val="32"/>
          <w:szCs w:val="32"/>
          <w:highlight w:val="none"/>
        </w:rPr>
        <w:t>前绩效评估结果。</w:t>
      </w:r>
      <w:r>
        <w:rPr>
          <w:rFonts w:hint="eastAsia" w:ascii="CESI仿宋-GB2312" w:hAnsi="CESI仿宋-GB2312" w:eastAsia="CESI仿宋-GB2312" w:cs="CESI仿宋-GB2312"/>
          <w:color w:val="auto"/>
          <w:kern w:val="0"/>
          <w:sz w:val="32"/>
          <w:szCs w:val="32"/>
          <w:lang w:val="en-US" w:eastAsia="zh-CN"/>
        </w:rPr>
        <w:t>本单位为二级预算单位，事前绩效评估结果可详见上级部门决算公开说明。</w:t>
      </w:r>
    </w:p>
    <w:p w14:paraId="0473B1D5">
      <w:pPr>
        <w:keepNext w:val="0"/>
        <w:keepLines w:val="0"/>
        <w:pageBreakBefore w:val="0"/>
        <w:numPr>
          <w:ilvl w:val="0"/>
          <w:numId w:val="1"/>
        </w:numPr>
        <w:kinsoku/>
        <w:wordWrap/>
        <w:topLinePunct w:val="0"/>
        <w:autoSpaceDE w:val="0"/>
        <w:autoSpaceDN w:val="0"/>
        <w:bidi w:val="0"/>
        <w:adjustRightInd w:val="0"/>
        <w:spacing w:line="600" w:lineRule="exact"/>
        <w:ind w:firstLine="640" w:firstLineChars="200"/>
        <w:jc w:val="left"/>
        <w:textAlignment w:val="auto"/>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1BCCF0B0">
      <w:pPr>
        <w:keepNext w:val="0"/>
        <w:keepLines w:val="0"/>
        <w:pageBreakBefore w:val="0"/>
        <w:numPr>
          <w:ilvl w:val="0"/>
          <w:numId w:val="0"/>
        </w:numPr>
        <w:kinsoku/>
        <w:wordWrap/>
        <w:topLinePunct w:val="0"/>
        <w:autoSpaceDE w:val="0"/>
        <w:autoSpaceDN w:val="0"/>
        <w:bidi w:val="0"/>
        <w:adjustRightInd w:val="0"/>
        <w:spacing w:line="600" w:lineRule="exact"/>
        <w:ind w:firstLine="640" w:firstLineChars="200"/>
        <w:jc w:val="left"/>
        <w:textAlignment w:val="auto"/>
        <w:rPr>
          <w:rFonts w:hint="eastAsia" w:ascii="CESI仿宋-GB2312" w:hAnsi="CESI仿宋-GB2312" w:eastAsia="CESI仿宋-GB2312" w:cs="CESI仿宋-GB2312"/>
          <w:b w:val="0"/>
          <w:bCs w:val="0"/>
          <w:color w:val="auto"/>
          <w:sz w:val="32"/>
          <w:szCs w:val="32"/>
          <w:highlight w:val="none"/>
        </w:rPr>
      </w:pPr>
      <w:r>
        <w:rPr>
          <w:rFonts w:hint="eastAsia" w:ascii="CESI仿宋-GB2312" w:hAnsi="CESI仿宋-GB2312" w:eastAsia="CESI仿宋-GB2312" w:cs="CESI仿宋-GB2312"/>
          <w:b w:val="0"/>
          <w:bCs w:val="0"/>
          <w:sz w:val="32"/>
          <w:szCs w:val="32"/>
          <w:lang w:val="en-US" w:eastAsia="zh-CN"/>
        </w:rPr>
        <w:t>本单位</w:t>
      </w:r>
      <w:r>
        <w:rPr>
          <w:rFonts w:hint="eastAsia" w:ascii="CESI仿宋-GB2312" w:hAnsi="CESI仿宋-GB2312" w:eastAsia="CESI仿宋-GB2312" w:cs="CESI仿宋-GB2312"/>
          <w:b w:val="0"/>
          <w:bCs w:val="0"/>
          <w:sz w:val="32"/>
          <w:szCs w:val="32"/>
        </w:rPr>
        <w:t>整体支出绩效自评结果</w:t>
      </w:r>
      <w:r>
        <w:rPr>
          <w:rFonts w:hint="eastAsia" w:ascii="CESI仿宋-GB2312" w:hAnsi="CESI仿宋-GB2312" w:eastAsia="CESI仿宋-GB2312" w:cs="CESI仿宋-GB2312"/>
          <w:b w:val="0"/>
          <w:bCs w:val="0"/>
          <w:sz w:val="32"/>
          <w:szCs w:val="32"/>
          <w:lang w:val="en-US" w:eastAsia="zh-CN"/>
        </w:rPr>
        <w:t>将作为完善本单位相关制度，改进资金管理的重要依据，同时，也将作为单位内部工作总结的参考依据。</w:t>
      </w:r>
      <w:r>
        <w:rPr>
          <w:rFonts w:hint="eastAsia" w:ascii="CESI仿宋-GB2312" w:hAnsi="CESI仿宋-GB2312" w:eastAsia="CESI仿宋-GB2312" w:cs="CESI仿宋-GB2312"/>
          <w:b w:val="0"/>
          <w:bCs w:val="0"/>
          <w:color w:val="auto"/>
          <w:sz w:val="32"/>
          <w:szCs w:val="32"/>
          <w:highlight w:val="none"/>
        </w:rPr>
        <w:t>202</w:t>
      </w:r>
      <w:r>
        <w:rPr>
          <w:rFonts w:hint="eastAsia" w:ascii="CESI仿宋-GB2312" w:hAnsi="CESI仿宋-GB2312" w:eastAsia="CESI仿宋-GB2312" w:cs="CESI仿宋-GB2312"/>
          <w:b w:val="0"/>
          <w:bCs w:val="0"/>
          <w:color w:val="auto"/>
          <w:sz w:val="32"/>
          <w:szCs w:val="32"/>
          <w:highlight w:val="none"/>
          <w:lang w:val="en-US" w:eastAsia="zh-CN"/>
        </w:rPr>
        <w:t>5</w:t>
      </w:r>
      <w:r>
        <w:rPr>
          <w:rFonts w:hint="eastAsia" w:ascii="CESI仿宋-GB2312" w:hAnsi="CESI仿宋-GB2312" w:eastAsia="CESI仿宋-GB2312" w:cs="CESI仿宋-GB2312"/>
          <w:b w:val="0"/>
          <w:bCs w:val="0"/>
          <w:color w:val="auto"/>
          <w:sz w:val="32"/>
          <w:szCs w:val="32"/>
          <w:highlight w:val="none"/>
        </w:rPr>
        <w:t>年度绩效自评结果</w:t>
      </w:r>
      <w:r>
        <w:rPr>
          <w:rFonts w:hint="eastAsia" w:ascii="CESI仿宋-GB2312" w:hAnsi="CESI仿宋-GB2312" w:eastAsia="CESI仿宋-GB2312" w:cs="CESI仿宋-GB2312"/>
          <w:b w:val="0"/>
          <w:bCs w:val="0"/>
          <w:color w:val="auto"/>
          <w:sz w:val="32"/>
          <w:szCs w:val="32"/>
          <w:highlight w:val="none"/>
          <w:lang w:eastAsia="zh-CN"/>
        </w:rPr>
        <w:t>和</w:t>
      </w:r>
      <w:r>
        <w:rPr>
          <w:rFonts w:hint="eastAsia" w:ascii="CESI仿宋-GB2312" w:hAnsi="CESI仿宋-GB2312" w:eastAsia="CESI仿宋-GB2312" w:cs="CESI仿宋-GB2312"/>
          <w:b w:val="0"/>
          <w:bCs w:val="0"/>
          <w:color w:val="auto"/>
          <w:sz w:val="32"/>
          <w:szCs w:val="32"/>
          <w:highlight w:val="none"/>
        </w:rPr>
        <w:t>部门评价结果</w:t>
      </w:r>
      <w:r>
        <w:rPr>
          <w:rFonts w:hint="eastAsia" w:ascii="CESI仿宋-GB2312" w:hAnsi="CESI仿宋-GB2312" w:eastAsia="CESI仿宋-GB2312" w:cs="CESI仿宋-GB2312"/>
          <w:b w:val="0"/>
          <w:bCs w:val="0"/>
          <w:color w:val="auto"/>
          <w:sz w:val="32"/>
          <w:szCs w:val="32"/>
          <w:highlight w:val="none"/>
          <w:lang w:eastAsia="zh-CN"/>
        </w:rPr>
        <w:t>将作为</w:t>
      </w:r>
      <w:r>
        <w:rPr>
          <w:rFonts w:hint="eastAsia" w:ascii="CESI仿宋-GB2312" w:hAnsi="CESI仿宋-GB2312" w:eastAsia="CESI仿宋-GB2312" w:cs="CESI仿宋-GB2312"/>
          <w:b w:val="0"/>
          <w:bCs w:val="0"/>
          <w:color w:val="auto"/>
          <w:sz w:val="32"/>
          <w:szCs w:val="32"/>
          <w:highlight w:val="none"/>
        </w:rPr>
        <w:t>本</w:t>
      </w:r>
      <w:r>
        <w:rPr>
          <w:rFonts w:hint="eastAsia" w:ascii="CESI仿宋-GB2312" w:hAnsi="CESI仿宋-GB2312" w:eastAsia="CESI仿宋-GB2312" w:cs="CESI仿宋-GB2312"/>
          <w:b w:val="0"/>
          <w:bCs w:val="0"/>
          <w:color w:val="auto"/>
          <w:sz w:val="32"/>
          <w:szCs w:val="32"/>
          <w:highlight w:val="none"/>
          <w:lang w:eastAsia="zh-CN"/>
        </w:rPr>
        <w:t>单位</w:t>
      </w:r>
      <w:r>
        <w:rPr>
          <w:rFonts w:hint="eastAsia" w:ascii="CESI仿宋-GB2312" w:hAnsi="CESI仿宋-GB2312" w:eastAsia="CESI仿宋-GB2312" w:cs="CESI仿宋-GB2312"/>
          <w:b w:val="0"/>
          <w:bCs w:val="0"/>
          <w:color w:val="auto"/>
          <w:sz w:val="32"/>
          <w:szCs w:val="32"/>
          <w:highlight w:val="none"/>
        </w:rPr>
        <w:t>202</w:t>
      </w:r>
      <w:r>
        <w:rPr>
          <w:rFonts w:hint="eastAsia" w:ascii="CESI仿宋-GB2312" w:hAnsi="CESI仿宋-GB2312" w:eastAsia="CESI仿宋-GB2312" w:cs="CESI仿宋-GB2312"/>
          <w:b w:val="0"/>
          <w:bCs w:val="0"/>
          <w:color w:val="auto"/>
          <w:sz w:val="32"/>
          <w:szCs w:val="32"/>
          <w:highlight w:val="none"/>
          <w:lang w:val="en-US" w:eastAsia="zh-CN"/>
        </w:rPr>
        <w:t>6</w:t>
      </w:r>
      <w:r>
        <w:rPr>
          <w:rFonts w:hint="eastAsia" w:ascii="CESI仿宋-GB2312" w:hAnsi="CESI仿宋-GB2312" w:eastAsia="CESI仿宋-GB2312" w:cs="CESI仿宋-GB2312"/>
          <w:b w:val="0"/>
          <w:bCs w:val="0"/>
          <w:color w:val="auto"/>
          <w:sz w:val="32"/>
          <w:szCs w:val="32"/>
          <w:highlight w:val="none"/>
        </w:rPr>
        <w:t>年度预算安排，支出结构调整，资金</w:t>
      </w:r>
      <w:r>
        <w:rPr>
          <w:rFonts w:hint="eastAsia" w:ascii="CESI仿宋-GB2312" w:hAnsi="CESI仿宋-GB2312" w:eastAsia="CESI仿宋-GB2312" w:cs="CESI仿宋-GB2312"/>
          <w:b w:val="0"/>
          <w:bCs w:val="0"/>
          <w:color w:val="auto"/>
          <w:sz w:val="32"/>
          <w:szCs w:val="32"/>
          <w:highlight w:val="none"/>
          <w:lang w:eastAsia="zh-CN"/>
        </w:rPr>
        <w:t>投向</w:t>
      </w:r>
      <w:r>
        <w:rPr>
          <w:rFonts w:hint="eastAsia" w:ascii="CESI仿宋-GB2312" w:hAnsi="CESI仿宋-GB2312" w:eastAsia="CESI仿宋-GB2312" w:cs="CESI仿宋-GB2312"/>
          <w:b w:val="0"/>
          <w:bCs w:val="0"/>
          <w:color w:val="auto"/>
          <w:sz w:val="32"/>
          <w:szCs w:val="32"/>
          <w:highlight w:val="none"/>
        </w:rPr>
        <w:t>等方面</w:t>
      </w:r>
      <w:r>
        <w:rPr>
          <w:rFonts w:hint="eastAsia" w:ascii="CESI仿宋-GB2312" w:hAnsi="CESI仿宋-GB2312" w:eastAsia="CESI仿宋-GB2312" w:cs="CESI仿宋-GB2312"/>
          <w:b w:val="0"/>
          <w:bCs w:val="0"/>
          <w:color w:val="auto"/>
          <w:sz w:val="32"/>
          <w:szCs w:val="32"/>
          <w:highlight w:val="none"/>
          <w:lang w:eastAsia="zh-CN"/>
        </w:rPr>
        <w:t>工作管理的重要参考依据</w:t>
      </w:r>
      <w:r>
        <w:rPr>
          <w:rFonts w:hint="eastAsia" w:ascii="CESI仿宋-GB2312" w:hAnsi="CESI仿宋-GB2312" w:eastAsia="CESI仿宋-GB2312" w:cs="CESI仿宋-GB2312"/>
          <w:b w:val="0"/>
          <w:bCs w:val="0"/>
          <w:color w:val="auto"/>
          <w:sz w:val="32"/>
          <w:szCs w:val="32"/>
          <w:highlight w:val="none"/>
        </w:rPr>
        <w:t>。</w:t>
      </w:r>
    </w:p>
    <w:p w14:paraId="07E26FBE">
      <w:pPr>
        <w:keepNext w:val="0"/>
        <w:keepLines w:val="0"/>
        <w:pageBreakBefore w:val="0"/>
        <w:kinsoku/>
        <w:wordWrap/>
        <w:topLinePunct w:val="0"/>
        <w:autoSpaceDE w:val="0"/>
        <w:autoSpaceDN w:val="0"/>
        <w:bidi w:val="0"/>
        <w:adjustRightInd w:val="0"/>
        <w:spacing w:line="600" w:lineRule="exact"/>
        <w:ind w:firstLine="640" w:firstLineChars="200"/>
        <w:jc w:val="both"/>
        <w:textAlignment w:val="auto"/>
        <w:rPr>
          <w:rFonts w:hint="eastAsia" w:ascii="CESI仿宋-GB2312" w:hAnsi="CESI仿宋-GB2312" w:eastAsia="CESI仿宋-GB2312" w:cs="CESI仿宋-GB2312"/>
          <w:b w:val="0"/>
          <w:bCs w:val="0"/>
          <w:sz w:val="32"/>
          <w:szCs w:val="32"/>
          <w:lang w:val="en-US" w:eastAsia="zh-CN"/>
        </w:rPr>
      </w:pPr>
      <w:r>
        <w:rPr>
          <w:rFonts w:hint="eastAsia" w:ascii="CESI仿宋-GB2312" w:hAnsi="CESI仿宋-GB2312" w:eastAsia="CESI仿宋-GB2312" w:cs="CESI仿宋-GB2312"/>
          <w:b w:val="0"/>
          <w:bCs w:val="0"/>
          <w:sz w:val="32"/>
          <w:szCs w:val="32"/>
          <w:lang w:val="en-US" w:eastAsia="zh-CN"/>
        </w:rPr>
        <w:t>预算绩效管理开展情况、绩效目标和绩效评价报告等，已在市政府部门财政预决算公开平台上向社会公开，详见附件。</w:t>
      </w:r>
    </w:p>
    <w:p w14:paraId="4F0303B1">
      <w:pPr>
        <w:rPr>
          <w:rFonts w:hint="eastAsia" w:ascii="方正小标宋_GBK" w:hAnsi="方正小标宋_GBK" w:eastAsia="方正小标宋_GBK" w:cs="方正小标宋_GBK"/>
          <w:sz w:val="72"/>
          <w:szCs w:val="72"/>
        </w:rPr>
      </w:pPr>
      <w:r>
        <w:rPr>
          <w:rFonts w:hint="eastAsia" w:ascii="CESI仿宋-GB2312" w:hAnsi="CESI仿宋-GB2312" w:eastAsia="CESI仿宋-GB2312" w:cs="CESI仿宋-GB2312"/>
          <w:b w:val="0"/>
          <w:bCs w:val="0"/>
          <w:sz w:val="32"/>
          <w:szCs w:val="32"/>
          <w:lang w:val="en-US" w:eastAsia="zh-CN"/>
        </w:rPr>
        <w:br w:type="page"/>
      </w:r>
    </w:p>
    <w:p w14:paraId="6BBF088E">
      <w:pPr>
        <w:pStyle w:val="14"/>
        <w:ind w:firstLine="3600" w:firstLineChars="500"/>
        <w:jc w:val="both"/>
        <w:rPr>
          <w:rFonts w:hint="eastAsia" w:ascii="方正小标宋_GBK" w:hAnsi="方正小标宋_GBK" w:eastAsia="方正小标宋_GBK" w:cs="方正小标宋_GBK"/>
          <w:sz w:val="72"/>
          <w:szCs w:val="72"/>
        </w:rPr>
      </w:pPr>
    </w:p>
    <w:p w14:paraId="763196E7">
      <w:pPr>
        <w:pStyle w:val="14"/>
        <w:jc w:val="center"/>
        <w:rPr>
          <w:rFonts w:hint="eastAsia" w:ascii="方正小标宋_GBK" w:hAnsi="方正小标宋_GBK" w:eastAsia="方正小标宋_GBK" w:cs="方正小标宋_GBK"/>
          <w:color w:val="000000"/>
          <w:kern w:val="0"/>
          <w:sz w:val="48"/>
          <w:szCs w:val="48"/>
        </w:rPr>
      </w:pPr>
      <w:r>
        <w:rPr>
          <w:rFonts w:hint="eastAsia" w:ascii="方正小标宋_GBK" w:hAnsi="方正小标宋_GBK" w:eastAsia="方正小标宋_GBK" w:cs="方正小标宋_GBK"/>
          <w:sz w:val="48"/>
          <w:szCs w:val="48"/>
        </w:rPr>
        <w:t>第四部分</w:t>
      </w:r>
    </w:p>
    <w:p w14:paraId="17BED463">
      <w:pPr>
        <w:pStyle w:val="14"/>
        <w:jc w:val="center"/>
        <w:rPr>
          <w:rFonts w:hint="eastAsia" w:ascii="方正小标宋_GBK" w:hAnsi="方正小标宋_GBK" w:eastAsia="方正小标宋_GBK" w:cs="方正小标宋_GBK"/>
          <w:sz w:val="48"/>
          <w:szCs w:val="48"/>
          <w:lang w:eastAsia="zh-CN"/>
        </w:rPr>
      </w:pPr>
      <w:r>
        <w:rPr>
          <w:rFonts w:hint="eastAsia" w:ascii="方正小标宋_GBK" w:hAnsi="方正小标宋_GBK" w:eastAsia="方正小标宋_GBK" w:cs="方正小标宋_GBK"/>
          <w:color w:val="000000"/>
          <w:kern w:val="0"/>
          <w:sz w:val="48"/>
          <w:szCs w:val="48"/>
        </w:rPr>
        <w:t>名词解释</w:t>
      </w:r>
    </w:p>
    <w:p w14:paraId="797EDA48">
      <w:pPr>
        <w:ind w:firstLine="640" w:firstLineChars="200"/>
        <w:jc w:val="left"/>
        <w:rPr>
          <w:rFonts w:hint="eastAsia" w:ascii="CESI仿宋-GB2312" w:hAnsi="CESI仿宋-GB2312" w:eastAsia="CESI仿宋-GB2312" w:cs="CESI仿宋-GB2312"/>
          <w:color w:val="000000"/>
          <w:kern w:val="0"/>
          <w:sz w:val="32"/>
          <w:szCs w:val="32"/>
        </w:rPr>
      </w:pPr>
      <w:r>
        <w:rPr>
          <w:rFonts w:hint="eastAsia" w:ascii="CESI仿宋-GB2312" w:hAnsi="CESI仿宋-GB2312" w:eastAsia="CESI仿宋-GB2312" w:cs="CESI仿宋-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927C02E">
      <w:pPr>
        <w:ind w:firstLine="640" w:firstLineChars="200"/>
        <w:jc w:val="left"/>
        <w:rPr>
          <w:rFonts w:hint="eastAsia" w:ascii="CESI仿宋-GB2312" w:hAnsi="CESI仿宋-GB2312" w:eastAsia="CESI仿宋-GB2312" w:cs="CESI仿宋-GB2312"/>
          <w:color w:val="000000"/>
          <w:kern w:val="0"/>
          <w:sz w:val="32"/>
          <w:szCs w:val="32"/>
        </w:rPr>
      </w:pPr>
      <w:r>
        <w:rPr>
          <w:rFonts w:hint="eastAsia" w:ascii="CESI仿宋-GB2312" w:hAnsi="CESI仿宋-GB2312" w:eastAsia="CESI仿宋-GB2312" w:cs="CESI仿宋-GB2312"/>
          <w:color w:val="000000"/>
          <w:kern w:val="0"/>
          <w:sz w:val="32"/>
          <w:szCs w:val="32"/>
        </w:rPr>
        <w:t>二、机关运行经费</w:t>
      </w:r>
      <w:r>
        <w:rPr>
          <w:rFonts w:hint="eastAsia" w:ascii="CESI仿宋-GB2312" w:hAnsi="CESI仿宋-GB2312" w:eastAsia="CESI仿宋-GB2312" w:cs="CESI仿宋-GB2312"/>
          <w:color w:val="000000"/>
          <w:kern w:val="0"/>
          <w:sz w:val="32"/>
          <w:szCs w:val="32"/>
          <w:lang w:eastAsia="zh-CN"/>
        </w:rPr>
        <w:t>，指为保障行政单位（包括参照公务员法管理的事业单位）运行用于购买货物和服务的各项资金</w:t>
      </w:r>
      <w:r>
        <w:rPr>
          <w:rFonts w:hint="eastAsia" w:ascii="CESI仿宋-GB2312" w:hAnsi="CESI仿宋-GB2312" w:eastAsia="CESI仿宋-GB2312" w:cs="CESI仿宋-GB2312"/>
          <w:color w:val="000000"/>
          <w:kern w:val="0"/>
          <w:sz w:val="32"/>
          <w:szCs w:val="32"/>
        </w:rPr>
        <w:t>，包括办公</w:t>
      </w:r>
      <w:r>
        <w:rPr>
          <w:rFonts w:hint="eastAsia" w:ascii="CESI仿宋-GB2312" w:hAnsi="CESI仿宋-GB2312" w:eastAsia="CESI仿宋-GB2312" w:cs="CESI仿宋-GB2312"/>
          <w:color w:val="000000"/>
          <w:kern w:val="0"/>
          <w:sz w:val="32"/>
          <w:szCs w:val="32"/>
          <w:lang w:eastAsia="zh-CN"/>
        </w:rPr>
        <w:t>费、</w:t>
      </w:r>
      <w:r>
        <w:rPr>
          <w:rFonts w:hint="eastAsia" w:ascii="CESI仿宋-GB2312" w:hAnsi="CESI仿宋-GB2312" w:eastAsia="CESI仿宋-GB2312" w:cs="CESI仿宋-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4244D415">
      <w:pPr>
        <w:pStyle w:val="14"/>
        <w:jc w:val="both"/>
        <w:rPr>
          <w:rFonts w:hint="eastAsia" w:ascii="方正小标宋_GBK" w:hAnsi="方正小标宋_GBK" w:eastAsia="方正小标宋_GBK" w:cs="方正小标宋_GBK"/>
          <w:sz w:val="72"/>
          <w:szCs w:val="72"/>
        </w:rPr>
      </w:pPr>
    </w:p>
    <w:p w14:paraId="2C1552EA">
      <w:pPr>
        <w:pStyle w:val="14"/>
        <w:jc w:val="center"/>
        <w:rPr>
          <w:rFonts w:hint="eastAsia" w:ascii="方正小标宋_GBK" w:hAnsi="方正小标宋_GBK" w:eastAsia="方正小标宋_GBK" w:cs="方正小标宋_GBK"/>
          <w:sz w:val="48"/>
          <w:szCs w:val="48"/>
          <w:lang w:eastAsia="zh-CN"/>
        </w:rPr>
      </w:pPr>
      <w:r>
        <w:rPr>
          <w:rFonts w:hint="eastAsia" w:ascii="方正小标宋_GBK" w:hAnsi="方正小标宋_GBK" w:eastAsia="方正小标宋_GBK" w:cs="方正小标宋_GBK"/>
          <w:sz w:val="48"/>
          <w:szCs w:val="48"/>
        </w:rPr>
        <w:t>第</w:t>
      </w:r>
      <w:r>
        <w:rPr>
          <w:rFonts w:hint="eastAsia" w:ascii="方正小标宋_GBK" w:hAnsi="方正小标宋_GBK" w:eastAsia="方正小标宋_GBK" w:cs="方正小标宋_GBK"/>
          <w:sz w:val="48"/>
          <w:szCs w:val="48"/>
          <w:lang w:eastAsia="zh-CN"/>
        </w:rPr>
        <w:t>五</w:t>
      </w:r>
      <w:r>
        <w:rPr>
          <w:rFonts w:hint="eastAsia" w:ascii="方正小标宋_GBK" w:hAnsi="方正小标宋_GBK" w:eastAsia="方正小标宋_GBK" w:cs="方正小标宋_GBK"/>
          <w:sz w:val="48"/>
          <w:szCs w:val="48"/>
        </w:rPr>
        <w:t>部分</w:t>
      </w:r>
    </w:p>
    <w:p w14:paraId="24FADAAB">
      <w:pPr>
        <w:pStyle w:val="14"/>
        <w:jc w:val="center"/>
        <w:rPr>
          <w:rFonts w:hint="eastAsia" w:ascii="方正小标宋_GBK" w:hAnsi="方正小标宋_GBK" w:eastAsia="方正小标宋_GBK" w:cs="方正小标宋_GBK"/>
          <w:sz w:val="48"/>
          <w:szCs w:val="48"/>
          <w:lang w:eastAsia="zh-CN"/>
        </w:rPr>
      </w:pPr>
      <w:r>
        <w:rPr>
          <w:rFonts w:hint="eastAsia" w:ascii="方正小标宋_GBK" w:hAnsi="方正小标宋_GBK" w:eastAsia="方正小标宋_GBK" w:cs="方正小标宋_GBK"/>
          <w:sz w:val="48"/>
          <w:szCs w:val="48"/>
          <w:lang w:eastAsia="zh-CN"/>
        </w:rPr>
        <w:t>附</w:t>
      </w:r>
      <w:r>
        <w:rPr>
          <w:rFonts w:hint="eastAsia" w:ascii="方正小标宋_GBK" w:hAnsi="方正小标宋_GBK" w:eastAsia="方正小标宋_GBK" w:cs="方正小标宋_GBK"/>
          <w:sz w:val="48"/>
          <w:szCs w:val="48"/>
          <w:lang w:val="en-US" w:eastAsia="zh-CN"/>
        </w:rPr>
        <w:t xml:space="preserve"> </w:t>
      </w:r>
      <w:r>
        <w:rPr>
          <w:rFonts w:hint="eastAsia" w:ascii="方正小标宋_GBK" w:hAnsi="方正小标宋_GBK" w:eastAsia="方正小标宋_GBK" w:cs="方正小标宋_GBK"/>
          <w:sz w:val="48"/>
          <w:szCs w:val="48"/>
          <w:lang w:eastAsia="zh-CN"/>
        </w:rPr>
        <w:t>件</w:t>
      </w:r>
    </w:p>
    <w:p w14:paraId="3FDA08E1">
      <w:pPr>
        <w:ind w:firstLine="640" w:firstLineChars="200"/>
        <w:jc w:val="left"/>
        <w:rPr>
          <w:rFonts w:hint="eastAsia" w:ascii="宋体" w:hAnsi="宋体" w:eastAsia="宋体" w:cs="黑体"/>
          <w:b/>
          <w:color w:val="000000"/>
          <w:kern w:val="0"/>
          <w:sz w:val="32"/>
          <w:szCs w:val="32"/>
          <w:lang w:val="en-US" w:eastAsia="zh-CN"/>
        </w:rPr>
      </w:pPr>
    </w:p>
    <w:p w14:paraId="630997AB">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75811332">
      <w:pPr>
        <w:ind w:firstLine="640" w:firstLineChars="200"/>
        <w:jc w:val="left"/>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557087D0">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EC83043A">
    <w:panose1 w:val="020B0503020204020204"/>
    <w:charset w:val="86"/>
    <w:family w:val="auto"/>
    <w:pitch w:val="default"/>
    <w:sig w:usb0="00000001" w:usb1="00000000" w:usb2="00000000" w:usb3="00000000" w:csb0="00040001" w:csb1="00000000"/>
  </w:font>
  <w:font w:name="KSOF5570FC2F">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266FD">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0CA86B">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90CA86B">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5E8096D"/>
    <w:rsid w:val="06C857E7"/>
    <w:rsid w:val="06D2567A"/>
    <w:rsid w:val="08C24A73"/>
    <w:rsid w:val="0AB20325"/>
    <w:rsid w:val="0CE36134"/>
    <w:rsid w:val="0D201768"/>
    <w:rsid w:val="0D2569D0"/>
    <w:rsid w:val="0FFA3028"/>
    <w:rsid w:val="116A4DD1"/>
    <w:rsid w:val="11944E2C"/>
    <w:rsid w:val="12583BA5"/>
    <w:rsid w:val="13BA5B9C"/>
    <w:rsid w:val="174B7FBD"/>
    <w:rsid w:val="17AC1CA0"/>
    <w:rsid w:val="1A2067E1"/>
    <w:rsid w:val="1A9B10DB"/>
    <w:rsid w:val="1C0A3439"/>
    <w:rsid w:val="1C1F3E79"/>
    <w:rsid w:val="1D97DEFF"/>
    <w:rsid w:val="1DFF72E5"/>
    <w:rsid w:val="1ECE358D"/>
    <w:rsid w:val="1EFC6F07"/>
    <w:rsid w:val="1F0527A6"/>
    <w:rsid w:val="1F0979D8"/>
    <w:rsid w:val="22AC03C2"/>
    <w:rsid w:val="23C2284B"/>
    <w:rsid w:val="23F23130"/>
    <w:rsid w:val="27223D2C"/>
    <w:rsid w:val="283B15FE"/>
    <w:rsid w:val="2A514883"/>
    <w:rsid w:val="2E2B3684"/>
    <w:rsid w:val="2FDF85B8"/>
    <w:rsid w:val="2FF410E3"/>
    <w:rsid w:val="2FFFEE04"/>
    <w:rsid w:val="303074BA"/>
    <w:rsid w:val="31C95635"/>
    <w:rsid w:val="31D3D057"/>
    <w:rsid w:val="321D4E26"/>
    <w:rsid w:val="327F2033"/>
    <w:rsid w:val="331D184C"/>
    <w:rsid w:val="34DF85B0"/>
    <w:rsid w:val="37CF0839"/>
    <w:rsid w:val="3B8F36BC"/>
    <w:rsid w:val="3D7FBF5D"/>
    <w:rsid w:val="3F281CA4"/>
    <w:rsid w:val="3F6F3F4B"/>
    <w:rsid w:val="42B71375"/>
    <w:rsid w:val="42E859D2"/>
    <w:rsid w:val="43EB5BA5"/>
    <w:rsid w:val="43F4F950"/>
    <w:rsid w:val="44F71EFD"/>
    <w:rsid w:val="474D16AC"/>
    <w:rsid w:val="491FF225"/>
    <w:rsid w:val="49FF31B8"/>
    <w:rsid w:val="4C4E656F"/>
    <w:rsid w:val="4D491763"/>
    <w:rsid w:val="4EC310A1"/>
    <w:rsid w:val="4FFD214C"/>
    <w:rsid w:val="51E50628"/>
    <w:rsid w:val="5352765A"/>
    <w:rsid w:val="56F6502D"/>
    <w:rsid w:val="5777D4F5"/>
    <w:rsid w:val="57EBA9D6"/>
    <w:rsid w:val="57F22B6F"/>
    <w:rsid w:val="59DD8326"/>
    <w:rsid w:val="5AB00284"/>
    <w:rsid w:val="5BAA0022"/>
    <w:rsid w:val="5DEF592A"/>
    <w:rsid w:val="5FC6BB1E"/>
    <w:rsid w:val="5FEFBD6C"/>
    <w:rsid w:val="5FF720F1"/>
    <w:rsid w:val="622964C1"/>
    <w:rsid w:val="626F01FB"/>
    <w:rsid w:val="632C553A"/>
    <w:rsid w:val="656145B1"/>
    <w:rsid w:val="65D06145"/>
    <w:rsid w:val="673F5CB4"/>
    <w:rsid w:val="67FF5C0B"/>
    <w:rsid w:val="6A682DD1"/>
    <w:rsid w:val="6BAA4A2F"/>
    <w:rsid w:val="6CCA0AD6"/>
    <w:rsid w:val="6DD31E1D"/>
    <w:rsid w:val="6DDEC5C0"/>
    <w:rsid w:val="6E2551EB"/>
    <w:rsid w:val="6EBB7166"/>
    <w:rsid w:val="6EFC0924"/>
    <w:rsid w:val="6F9E8580"/>
    <w:rsid w:val="6FB74722"/>
    <w:rsid w:val="6FED38C5"/>
    <w:rsid w:val="6FEF8B7E"/>
    <w:rsid w:val="70471D10"/>
    <w:rsid w:val="71207291"/>
    <w:rsid w:val="717FE77F"/>
    <w:rsid w:val="71A6591B"/>
    <w:rsid w:val="737419E8"/>
    <w:rsid w:val="737D59BA"/>
    <w:rsid w:val="737F2CF3"/>
    <w:rsid w:val="737F32B1"/>
    <w:rsid w:val="73BD3FCA"/>
    <w:rsid w:val="74974DD6"/>
    <w:rsid w:val="767D4639"/>
    <w:rsid w:val="76FF1C50"/>
    <w:rsid w:val="77252362"/>
    <w:rsid w:val="776BDA01"/>
    <w:rsid w:val="779FE805"/>
    <w:rsid w:val="77B3A9C1"/>
    <w:rsid w:val="77C37683"/>
    <w:rsid w:val="79FF515B"/>
    <w:rsid w:val="7A736B87"/>
    <w:rsid w:val="7DFBFF20"/>
    <w:rsid w:val="7E9E1962"/>
    <w:rsid w:val="7E9F11B4"/>
    <w:rsid w:val="7F37EC1E"/>
    <w:rsid w:val="7F7C0DDA"/>
    <w:rsid w:val="7F7DCD9D"/>
    <w:rsid w:val="7F7FF3A2"/>
    <w:rsid w:val="7F970A6F"/>
    <w:rsid w:val="7FB9DE53"/>
    <w:rsid w:val="7FC1FFF3"/>
    <w:rsid w:val="7FC69637"/>
    <w:rsid w:val="7FDF8620"/>
    <w:rsid w:val="7FE31449"/>
    <w:rsid w:val="7FEF179B"/>
    <w:rsid w:val="7FFB242F"/>
    <w:rsid w:val="7FFD0380"/>
    <w:rsid w:val="7FFDB408"/>
    <w:rsid w:val="7FFE4EEB"/>
    <w:rsid w:val="7FFFD9D0"/>
    <w:rsid w:val="7FFFEC6C"/>
    <w:rsid w:val="8DF7E93A"/>
    <w:rsid w:val="95FB2B98"/>
    <w:rsid w:val="9A639BC2"/>
    <w:rsid w:val="9FF7D786"/>
    <w:rsid w:val="ABBFB23D"/>
    <w:rsid w:val="B6BE5A03"/>
    <w:rsid w:val="B7E1D08A"/>
    <w:rsid w:val="B7FB512D"/>
    <w:rsid w:val="B8C93228"/>
    <w:rsid w:val="B97C224E"/>
    <w:rsid w:val="BB734DFE"/>
    <w:rsid w:val="BF7F8476"/>
    <w:rsid w:val="BFF987C8"/>
    <w:rsid w:val="C1FE9396"/>
    <w:rsid w:val="C3B4DA5A"/>
    <w:rsid w:val="C4FF458C"/>
    <w:rsid w:val="C7993C23"/>
    <w:rsid w:val="C7BBD038"/>
    <w:rsid w:val="CBFF70E0"/>
    <w:rsid w:val="CF6D5B03"/>
    <w:rsid w:val="CFF50B82"/>
    <w:rsid w:val="CFFFAD89"/>
    <w:rsid w:val="D76F47ED"/>
    <w:rsid w:val="DBDF8497"/>
    <w:rsid w:val="DFF7BE84"/>
    <w:rsid w:val="DFFE359E"/>
    <w:rsid w:val="DFFE4FFD"/>
    <w:rsid w:val="DFFF5403"/>
    <w:rsid w:val="DFFF8250"/>
    <w:rsid w:val="E3FD8684"/>
    <w:rsid w:val="E53F1055"/>
    <w:rsid w:val="E67DF6E5"/>
    <w:rsid w:val="EBC3E00A"/>
    <w:rsid w:val="EDFBE100"/>
    <w:rsid w:val="EEABED75"/>
    <w:rsid w:val="EF7E8003"/>
    <w:rsid w:val="F33BB5E5"/>
    <w:rsid w:val="F3FB567E"/>
    <w:rsid w:val="F56FDF51"/>
    <w:rsid w:val="F5F3EE78"/>
    <w:rsid w:val="F6B69F17"/>
    <w:rsid w:val="F6E5BB3A"/>
    <w:rsid w:val="F77F1D61"/>
    <w:rsid w:val="F7C36722"/>
    <w:rsid w:val="F7FED3A9"/>
    <w:rsid w:val="F8C9DB26"/>
    <w:rsid w:val="F97E8EAE"/>
    <w:rsid w:val="FB36E1A6"/>
    <w:rsid w:val="FB3BE134"/>
    <w:rsid w:val="FB7D05FB"/>
    <w:rsid w:val="FBF90B74"/>
    <w:rsid w:val="FBFEF1CA"/>
    <w:rsid w:val="FCFF4275"/>
    <w:rsid w:val="FD7FEEEA"/>
    <w:rsid w:val="FDAB4871"/>
    <w:rsid w:val="FDFFB577"/>
    <w:rsid w:val="FE3E2904"/>
    <w:rsid w:val="FEEA50FE"/>
    <w:rsid w:val="FF7D47A9"/>
    <w:rsid w:val="FFCF21CB"/>
    <w:rsid w:val="FFF94102"/>
    <w:rsid w:val="FFFF1C8B"/>
    <w:rsid w:val="FFFF7436"/>
    <w:rsid w:val="FFFFD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next w:val="6"/>
    <w:semiHidden/>
    <w:qFormat/>
    <w:uiPriority w:val="0"/>
    <w:pPr>
      <w:widowControl w:val="0"/>
      <w:jc w:val="both"/>
    </w:pPr>
    <w:rPr>
      <w:rFonts w:ascii="仿宋" w:hAnsi="仿宋" w:eastAsia="仿宋" w:cs="仿宋"/>
      <w:kern w:val="2"/>
      <w:sz w:val="31"/>
      <w:szCs w:val="31"/>
      <w:lang w:val="en-US" w:eastAsia="en-US" w:bidi="ar-SA"/>
    </w:rPr>
  </w:style>
  <w:style w:type="paragraph" w:styleId="6">
    <w:name w:val="toc 5"/>
    <w:next w:val="1"/>
    <w:qFormat/>
    <w:uiPriority w:val="0"/>
    <w:pPr>
      <w:widowControl w:val="0"/>
      <w:ind w:left="1680" w:leftChars="800"/>
      <w:jc w:val="both"/>
    </w:pPr>
    <w:rPr>
      <w:rFonts w:asciiTheme="minorHAnsi" w:hAnsiTheme="minorHAnsi" w:eastAsiaTheme="minorEastAsia" w:cstheme="minorBidi"/>
      <w:kern w:val="2"/>
      <w:sz w:val="21"/>
      <w:szCs w:val="22"/>
      <w:lang w:val="en-US" w:eastAsia="zh-CN" w:bidi="ar-SA"/>
    </w:rPr>
  </w:style>
  <w:style w:type="paragraph" w:styleId="7">
    <w:name w:val="Balloon Text"/>
    <w:basedOn w:val="1"/>
    <w:link w:val="16"/>
    <w:semiHidden/>
    <w:unhideWhenUsed/>
    <w:qFormat/>
    <w:uiPriority w:val="99"/>
    <w:rPr>
      <w:sz w:val="18"/>
      <w:szCs w:val="18"/>
    </w:rPr>
  </w:style>
  <w:style w:type="paragraph" w:styleId="8">
    <w:name w:val="footer"/>
    <w:basedOn w:val="1"/>
    <w:link w:val="13"/>
    <w:unhideWhenUsed/>
    <w:qFormat/>
    <w:uiPriority w:val="99"/>
    <w:pPr>
      <w:tabs>
        <w:tab w:val="center" w:pos="4153"/>
        <w:tab w:val="right" w:pos="8306"/>
      </w:tabs>
      <w:snapToGrid w:val="0"/>
      <w:jc w:val="left"/>
    </w:pPr>
    <w:rPr>
      <w:sz w:val="18"/>
      <w:szCs w:val="18"/>
    </w:rPr>
  </w:style>
  <w:style w:type="paragraph" w:styleId="9">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2">
    <w:name w:val="页眉 Char"/>
    <w:basedOn w:val="11"/>
    <w:link w:val="9"/>
    <w:qFormat/>
    <w:uiPriority w:val="99"/>
    <w:rPr>
      <w:sz w:val="18"/>
      <w:szCs w:val="18"/>
    </w:rPr>
  </w:style>
  <w:style w:type="character" w:customStyle="1" w:styleId="13">
    <w:name w:val="页脚 Char"/>
    <w:basedOn w:val="11"/>
    <w:link w:val="8"/>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7"/>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6963</Words>
  <Characters>7462</Characters>
  <Lines>63</Lines>
  <Paragraphs>18</Paragraphs>
  <TotalTime>3</TotalTime>
  <ScaleCrop>false</ScaleCrop>
  <LinksUpToDate>false</LinksUpToDate>
  <CharactersWithSpaces>7480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2020-07-11T18:32:00Z</dcterms:created>
  <dc:creator>李航 null</dc:creator>
  <cp:lastModifiedBy>YY</cp:lastModifiedBy>
  <cp:lastPrinted>2024-08-12T02:20:00Z</cp:lastPrinted>
  <dcterms:modified xsi:type="dcterms:W3CDTF">2026-10-08T06:35:55Z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eyJoZGlkIjoiZTIwYjE2NzhkNDM2Y2Y5NzI2YzFkODFmZGY5MzM4MWUiLCJ1c2VySWQiOiI0OTYzNTAzMzUifQ==</vt:lpwstr>
  </property>
</Properties>
</file>