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DD3FE">
      <w:pPr>
        <w:keepNext w:val="0"/>
        <w:keepLines w:val="0"/>
        <w:pageBreakBefore w:val="0"/>
        <w:widowControl w:val="0"/>
        <w:kinsoku/>
        <w:wordWrap/>
        <w:overflowPunct/>
        <w:topLinePunct w:val="0"/>
        <w:autoSpaceDE/>
        <w:autoSpaceDN/>
        <w:bidi w:val="0"/>
        <w:adjustRightInd/>
        <w:snapToGrid/>
        <w:spacing w:line="580" w:lineRule="exact"/>
        <w:ind w:leftChars="0" w:firstLine="0" w:firstLineChars="0"/>
        <w:jc w:val="center"/>
        <w:textAlignment w:val="auto"/>
        <w:rPr>
          <w:rFonts w:hint="eastAsia" w:ascii="方正小标宋简体" w:hAnsi="方正小标宋简体" w:eastAsia="方正小标宋简体" w:cs="方正小标宋简体"/>
          <w:b/>
          <w:bCs/>
          <w:color w:val="000000"/>
          <w:spacing w:val="-6"/>
          <w:kern w:val="2"/>
          <w:sz w:val="44"/>
          <w:szCs w:val="44"/>
          <w:lang w:val="en-US" w:eastAsia="zh-CN"/>
        </w:rPr>
      </w:pPr>
    </w:p>
    <w:p w14:paraId="3DAF1651">
      <w:pPr>
        <w:keepNext w:val="0"/>
        <w:keepLines w:val="0"/>
        <w:pageBreakBefore w:val="0"/>
        <w:widowControl w:val="0"/>
        <w:kinsoku/>
        <w:wordWrap/>
        <w:overflowPunct/>
        <w:topLinePunct w:val="0"/>
        <w:autoSpaceDE/>
        <w:autoSpaceDN/>
        <w:bidi w:val="0"/>
        <w:adjustRightInd/>
        <w:snapToGrid/>
        <w:spacing w:line="580" w:lineRule="exact"/>
        <w:ind w:leftChars="0" w:firstLine="0" w:firstLineChars="0"/>
        <w:jc w:val="center"/>
        <w:textAlignment w:val="auto"/>
        <w:rPr>
          <w:rFonts w:hint="eastAsia" w:ascii="方正小标宋简体" w:hAnsi="方正小标宋简体" w:eastAsia="方正小标宋简体" w:cs="方正小标宋简体"/>
          <w:b/>
          <w:bCs/>
          <w:color w:val="000000"/>
          <w:spacing w:val="-6"/>
          <w:kern w:val="2"/>
          <w:sz w:val="44"/>
          <w:szCs w:val="44"/>
          <w:lang w:val="en-US" w:eastAsia="zh-CN"/>
        </w:rPr>
      </w:pPr>
    </w:p>
    <w:p w14:paraId="10965E70">
      <w:pPr>
        <w:keepNext w:val="0"/>
        <w:keepLines w:val="0"/>
        <w:pageBreakBefore w:val="0"/>
        <w:widowControl w:val="0"/>
        <w:kinsoku/>
        <w:wordWrap/>
        <w:overflowPunct/>
        <w:topLinePunct w:val="0"/>
        <w:autoSpaceDE/>
        <w:autoSpaceDN/>
        <w:bidi w:val="0"/>
        <w:adjustRightInd/>
        <w:snapToGrid/>
        <w:spacing w:line="580" w:lineRule="exact"/>
        <w:ind w:leftChars="0" w:firstLine="0" w:firstLineChars="0"/>
        <w:jc w:val="center"/>
        <w:textAlignment w:val="auto"/>
        <w:rPr>
          <w:rFonts w:hint="eastAsia" w:ascii="方正小标宋简体" w:hAnsi="方正小标宋简体" w:eastAsia="方正小标宋简体" w:cs="方正小标宋简体"/>
          <w:b/>
          <w:bCs/>
          <w:color w:val="000000"/>
          <w:spacing w:val="-6"/>
          <w:kern w:val="2"/>
          <w:sz w:val="44"/>
          <w:szCs w:val="44"/>
          <w:lang w:val="en-US" w:eastAsia="zh-CN"/>
        </w:rPr>
      </w:pPr>
      <w:r>
        <w:rPr>
          <w:rFonts w:hint="eastAsia" w:ascii="方正小标宋简体" w:hAnsi="方正小标宋简体" w:eastAsia="方正小标宋简体" w:cs="方正小标宋简体"/>
          <w:b/>
          <w:bCs/>
          <w:color w:val="000000"/>
          <w:spacing w:val="-6"/>
          <w:kern w:val="2"/>
          <w:sz w:val="44"/>
          <w:szCs w:val="44"/>
          <w:lang w:val="en-US" w:eastAsia="zh-CN"/>
        </w:rPr>
        <w:t xml:space="preserve">2025年度岳阳市固体废物处置服务中心  </w:t>
      </w:r>
    </w:p>
    <w:p w14:paraId="29406A6D">
      <w:pPr>
        <w:keepNext w:val="0"/>
        <w:keepLines w:val="0"/>
        <w:pageBreakBefore w:val="0"/>
        <w:widowControl w:val="0"/>
        <w:kinsoku/>
        <w:wordWrap/>
        <w:overflowPunct/>
        <w:topLinePunct w:val="0"/>
        <w:autoSpaceDE/>
        <w:autoSpaceDN/>
        <w:bidi w:val="0"/>
        <w:adjustRightInd/>
        <w:snapToGrid/>
        <w:spacing w:line="580" w:lineRule="exact"/>
        <w:ind w:leftChars="0" w:firstLine="0" w:firstLine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b/>
          <w:bCs/>
          <w:color w:val="000000"/>
          <w:spacing w:val="-6"/>
          <w:kern w:val="2"/>
          <w:sz w:val="44"/>
          <w:szCs w:val="44"/>
          <w:lang w:val="en-US" w:eastAsia="zh-CN"/>
        </w:rPr>
        <w:t>整体支出绩效自评报告</w:t>
      </w:r>
    </w:p>
    <w:p w14:paraId="5500BB07">
      <w:pPr>
        <w:keepNext w:val="0"/>
        <w:keepLines w:val="0"/>
        <w:pageBreakBefore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highlight w:val="none"/>
        </w:rPr>
      </w:pPr>
    </w:p>
    <w:p w14:paraId="3D905085">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both"/>
        <w:textAlignment w:val="auto"/>
        <w:rPr>
          <w:rFonts w:hint="default" w:ascii="黑体" w:hAnsi="黑体" w:eastAsia="黑体" w:cs="黑体"/>
          <w:b w:val="0"/>
          <w:bCs w:val="0"/>
          <w:color w:val="000000"/>
          <w:spacing w:val="6"/>
          <w:kern w:val="2"/>
          <w:sz w:val="32"/>
          <w:szCs w:val="32"/>
          <w:lang w:val="en-US" w:eastAsia="zh-CN"/>
        </w:rPr>
      </w:pPr>
      <w:r>
        <w:rPr>
          <w:rFonts w:hint="eastAsia" w:ascii="黑体" w:hAnsi="黑体" w:eastAsia="黑体" w:cs="黑体"/>
          <w:b w:val="0"/>
          <w:bCs w:val="0"/>
          <w:color w:val="000000"/>
          <w:spacing w:val="6"/>
          <w:kern w:val="2"/>
          <w:sz w:val="32"/>
          <w:szCs w:val="32"/>
          <w:lang w:val="en-US" w:eastAsia="zh-CN"/>
        </w:rPr>
        <w:t>一、</w:t>
      </w:r>
      <w:r>
        <w:rPr>
          <w:rFonts w:hint="default" w:ascii="黑体" w:hAnsi="黑体" w:eastAsia="黑体" w:cs="黑体"/>
          <w:b w:val="0"/>
          <w:bCs w:val="0"/>
          <w:color w:val="000000"/>
          <w:spacing w:val="6"/>
          <w:kern w:val="2"/>
          <w:sz w:val="32"/>
          <w:szCs w:val="32"/>
          <w:lang w:val="en-US" w:eastAsia="zh-CN"/>
        </w:rPr>
        <w:t>部门（单位）基本情况</w:t>
      </w:r>
    </w:p>
    <w:p w14:paraId="125E6B02">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（一）职能职责</w:t>
      </w:r>
    </w:p>
    <w:tbl>
      <w:tblPr>
        <w:tblStyle w:val="11"/>
        <w:tblW w:w="153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5306"/>
      </w:tblGrid>
      <w:tr w14:paraId="73EC5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5306"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431E685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1、负责</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岳阳市静脉产业园区（以下简称园区）的发展规划、</w:t>
            </w:r>
          </w:p>
          <w:p w14:paraId="543A4BEA">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控详规划和规划环评的编制和实施的行政辅助工作；</w:t>
            </w:r>
          </w:p>
          <w:p w14:paraId="19E8BB9B">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负</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责</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园区内企业日常运营监管的事务性工作，协助园区</w:t>
            </w:r>
          </w:p>
          <w:p w14:paraId="6EF7AC7D">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内企业做好各类扶持政策的申报工作；</w:t>
            </w:r>
          </w:p>
          <w:p w14:paraId="7C7A96AF">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负</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责</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园区内政府投资的基础设施建设和维护工作；</w:t>
            </w:r>
          </w:p>
          <w:p w14:paraId="78567051">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负</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责</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市中心城区餐厨垃圾收集、运输处置统筹协调、监督、</w:t>
            </w:r>
          </w:p>
          <w:p w14:paraId="50FC2E9D">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考核等事务性工作；</w:t>
            </w:r>
          </w:p>
          <w:p w14:paraId="72FD1126">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负</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责</w:t>
            </w: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罗家坳生活垃圾填埋场的日常管理；完成市城市管理</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 xml:space="preserve">    </w:t>
            </w:r>
          </w:p>
          <w:p w14:paraId="1EB35285">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和综合执法局交办的其他事项。</w:t>
            </w:r>
          </w:p>
        </w:tc>
      </w:tr>
      <w:tr w14:paraId="6DC7A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5306"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4BCFA584">
            <w:pPr>
              <w:pStyle w:val="13"/>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bCs/>
                <w:color w:val="000000" w:themeColor="text1"/>
                <w:sz w:val="32"/>
                <w:szCs w:val="32"/>
                <w:highlight w:val="none"/>
                <w14:textFill>
                  <w14:solidFill>
                    <w14:schemeClr w14:val="tx1"/>
                  </w14:solidFill>
                </w14:textFill>
              </w:rPr>
            </w:pPr>
            <w:r>
              <w:rPr>
                <w:rFonts w:hint="eastAsia" w:ascii="方正楷体_GB2312" w:hAnsi="方正楷体_GB2312" w:eastAsia="方正楷体_GB2312" w:cs="方正楷体_GB2312"/>
                <w:b/>
                <w:bCs/>
                <w:strike w:val="0"/>
                <w:dstrike w:val="0"/>
                <w:color w:val="000000" w:themeColor="text1"/>
                <w:kern w:val="2"/>
                <w:sz w:val="32"/>
                <w:szCs w:val="32"/>
                <w:lang w:val="en-US" w:eastAsia="zh-CN" w:bidi="ar-SA"/>
                <w14:textFill>
                  <w14:solidFill>
                    <w14:schemeClr w14:val="tx1"/>
                  </w14:solidFill>
                </w14:textFill>
              </w:rPr>
              <w:t>（二）机构设置</w:t>
            </w:r>
          </w:p>
        </w:tc>
      </w:tr>
      <w:tr w14:paraId="70223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5306"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405B9170">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我单位</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为市城市管理和综合执法局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直属</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公益一类事业单位，</w:t>
            </w:r>
          </w:p>
          <w:p w14:paraId="768E3110">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机构规格为正科级，</w:t>
            </w:r>
            <w:r>
              <w:rPr>
                <w:rFonts w:hint="eastAsia" w:eastAsia="仿宋_GB2312" w:cs="仿宋_GB2312"/>
                <w:color w:val="000000" w:themeColor="text1"/>
                <w:kern w:val="0"/>
                <w:sz w:val="32"/>
                <w:szCs w:val="32"/>
                <w:lang w:val="en-US" w:eastAsia="zh-CN"/>
                <w14:textFill>
                  <w14:solidFill>
                    <w14:schemeClr w14:val="tx1"/>
                  </w14:solidFill>
                </w14:textFill>
              </w:rPr>
              <w:t>编制人数21人，实有人数18人</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。中心设</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有3</w:t>
            </w:r>
          </w:p>
          <w:p w14:paraId="2B34B7E3">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个内设机构：综合部、园区服务部、固体废物服务部。  </w:t>
            </w:r>
          </w:p>
        </w:tc>
      </w:tr>
    </w:tbl>
    <w:p w14:paraId="1776E9E4">
      <w:pPr>
        <w:keepNext w:val="0"/>
        <w:keepLines w:val="0"/>
        <w:pageBreakBefore w:val="0"/>
        <w:kinsoku/>
        <w:wordWrap/>
        <w:overflowPunct/>
        <w:topLinePunct w:val="0"/>
        <w:autoSpaceDE/>
        <w:autoSpaceDN/>
        <w:bidi w:val="0"/>
        <w:adjustRightInd/>
        <w:snapToGrid/>
        <w:spacing w:line="580" w:lineRule="exact"/>
        <w:ind w:leftChars="0" w:firstLine="664" w:firstLineChars="200"/>
        <w:jc w:val="both"/>
        <w:textAlignment w:val="auto"/>
        <w:rPr>
          <w:rFonts w:hint="default" w:ascii="黑体" w:hAnsi="黑体" w:eastAsia="黑体" w:cs="黑体"/>
          <w:b w:val="0"/>
          <w:bCs w:val="0"/>
          <w:color w:val="000000"/>
          <w:spacing w:val="6"/>
          <w:kern w:val="2"/>
          <w:sz w:val="32"/>
          <w:szCs w:val="32"/>
          <w:lang w:val="en-US" w:eastAsia="zh-CN"/>
        </w:rPr>
      </w:pPr>
      <w:r>
        <w:rPr>
          <w:rFonts w:hint="default" w:ascii="黑体" w:hAnsi="黑体" w:eastAsia="黑体" w:cs="黑体"/>
          <w:b w:val="0"/>
          <w:bCs w:val="0"/>
          <w:color w:val="000000"/>
          <w:spacing w:val="6"/>
          <w:kern w:val="2"/>
          <w:sz w:val="32"/>
          <w:szCs w:val="32"/>
          <w:lang w:val="en-US" w:eastAsia="zh-CN"/>
        </w:rPr>
        <w:t>二、一般公共预算支出情况</w:t>
      </w:r>
    </w:p>
    <w:p w14:paraId="15E72119">
      <w:pPr>
        <w:pStyle w:val="13"/>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（一）基本支出情况</w:t>
      </w:r>
    </w:p>
    <w:p w14:paraId="305C3BB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kern w:val="0"/>
          <w:sz w:val="32"/>
          <w:szCs w:val="32"/>
          <w:highlight w:val="none"/>
          <w:lang w:val="en-US" w:eastAsia="zh-CN"/>
        </w:rPr>
      </w:pPr>
      <w:r>
        <w:rPr>
          <w:rFonts w:hint="eastAsia" w:eastAsia="仿宋_GB2312" w:cs="仿宋_GB2312"/>
          <w:kern w:val="0"/>
          <w:sz w:val="32"/>
          <w:szCs w:val="32"/>
          <w:lang w:val="en-US" w:eastAsia="zh-CN"/>
        </w:rPr>
        <w:t>2025年度基本支出266.88万元，其中人员支出248.17万元，</w:t>
      </w:r>
      <w:r>
        <w:rPr>
          <w:rFonts w:hint="eastAsia" w:eastAsia="仿宋_GB2312" w:cs="仿宋_GB2312"/>
          <w:kern w:val="0"/>
          <w:sz w:val="32"/>
          <w:szCs w:val="32"/>
          <w:highlight w:val="none"/>
          <w:lang w:val="en-US" w:eastAsia="zh-CN"/>
        </w:rPr>
        <w:t>主要用于在职人员基本工资、津贴补贴等人员经费支出；公用经费支出18.71万元，主要用于办公费、邮电费、物业管理费、水电费、差旅费等保障单位机构正常运转、完成日常工作任务而发生的各项支出。</w:t>
      </w:r>
    </w:p>
    <w:p w14:paraId="18AE535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eastAsia="仿宋_GB2312" w:cs="仿宋_GB2312"/>
          <w:kern w:val="0"/>
          <w:sz w:val="32"/>
          <w:szCs w:val="32"/>
          <w:highlight w:val="none"/>
        </w:rPr>
      </w:pPr>
      <w:r>
        <w:rPr>
          <w:rFonts w:hint="eastAsia" w:eastAsia="仿宋_GB2312" w:cs="仿宋_GB2312"/>
          <w:kern w:val="0"/>
          <w:sz w:val="32"/>
          <w:szCs w:val="32"/>
          <w:lang w:val="en-US" w:eastAsia="zh-CN"/>
        </w:rPr>
        <w:t>本年度公务接待费支出0万元，因公出国(境)费支出0元,</w:t>
      </w:r>
      <w:r>
        <w:rPr>
          <w:rFonts w:hint="eastAsia" w:eastAsia="仿宋_GB2312" w:cs="仿宋_GB2312"/>
          <w:kern w:val="0"/>
          <w:sz w:val="32"/>
          <w:szCs w:val="32"/>
          <w:highlight w:val="none"/>
          <w:lang w:val="en-US" w:eastAsia="zh-CN"/>
        </w:rPr>
        <w:t>公务车运</w:t>
      </w:r>
      <w:r>
        <w:rPr>
          <w:rFonts w:hint="eastAsia" w:eastAsia="仿宋_GB2312" w:cs="仿宋_GB2312"/>
          <w:kern w:val="0"/>
          <w:sz w:val="32"/>
          <w:szCs w:val="32"/>
          <w:lang w:val="en-US" w:eastAsia="zh-CN"/>
        </w:rPr>
        <w:t>行维护费支出0万元，“三公经费</w:t>
      </w:r>
      <w:r>
        <w:rPr>
          <w:rFonts w:hint="default" w:eastAsia="仿宋_GB2312" w:cs="仿宋_GB2312"/>
          <w:kern w:val="0"/>
          <w:sz w:val="32"/>
          <w:szCs w:val="32"/>
          <w:lang w:val="en-US" w:eastAsia="zh-CN"/>
        </w:rPr>
        <w:t>”</w:t>
      </w:r>
      <w:r>
        <w:rPr>
          <w:rFonts w:hint="eastAsia" w:eastAsia="仿宋_GB2312" w:cs="仿宋_GB2312"/>
          <w:kern w:val="0"/>
          <w:sz w:val="32"/>
          <w:szCs w:val="32"/>
          <w:lang w:val="en-US" w:eastAsia="zh-CN"/>
        </w:rPr>
        <w:t>支出总额为0万元</w:t>
      </w:r>
      <w:r>
        <w:rPr>
          <w:rFonts w:hint="eastAsia" w:eastAsia="仿宋_GB2312" w:cs="仿宋_GB2312"/>
          <w:kern w:val="0"/>
          <w:sz w:val="32"/>
          <w:szCs w:val="32"/>
          <w:highlight w:val="none"/>
          <w:lang w:val="en-US" w:eastAsia="zh-CN"/>
        </w:rPr>
        <w:t>，“三公经费”年初预算总金额为0万元，控制在预算金额之内。</w:t>
      </w:r>
    </w:p>
    <w:p w14:paraId="4706A326">
      <w:pPr>
        <w:pStyle w:val="13"/>
        <w:keepNext w:val="0"/>
        <w:keepLines w:val="0"/>
        <w:pageBreakBefore w:val="0"/>
        <w:widowControl/>
        <w:numPr>
          <w:ilvl w:val="0"/>
          <w:numId w:val="2"/>
        </w:numPr>
        <w:kinsoku/>
        <w:wordWrap/>
        <w:overflowPunct/>
        <w:topLinePunct w:val="0"/>
        <w:autoSpaceDE/>
        <w:autoSpaceDN/>
        <w:bidi w:val="0"/>
        <w:adjustRightInd/>
        <w:snapToGrid/>
        <w:spacing w:line="560" w:lineRule="exact"/>
        <w:ind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项目支出情况</w:t>
      </w:r>
    </w:p>
    <w:p w14:paraId="49435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sz w:val="32"/>
          <w:szCs w:val="32"/>
          <w:lang w:val="en-US"/>
        </w:rPr>
      </w:pPr>
      <w:r>
        <w:rPr>
          <w:rFonts w:hint="eastAsia" w:ascii="仿宋_GB2312" w:hAnsi="仿宋_GB2312" w:eastAsia="仿宋_GB2312" w:cs="仿宋_GB2312"/>
          <w:color w:val="000000"/>
          <w:kern w:val="0"/>
          <w:sz w:val="32"/>
          <w:szCs w:val="32"/>
          <w:lang w:val="en-US" w:eastAsia="zh-CN" w:bidi="ar"/>
        </w:rPr>
        <w:t>1、项目资金收支情况分析</w:t>
      </w:r>
    </w:p>
    <w:p w14:paraId="70D3D203">
      <w:pPr>
        <w:pStyle w:val="13"/>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b/>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kern w:val="0"/>
          <w:sz w:val="32"/>
          <w:szCs w:val="32"/>
          <w:lang w:val="en-US" w:eastAsia="zh-CN" w:bidi="ar"/>
        </w:rPr>
        <w:t>2025年年初市财政共安排专项资金294.50万元，其中</w:t>
      </w:r>
      <w:r>
        <w:rPr>
          <w:rFonts w:hint="eastAsia" w:eastAsia="仿宋_GB2312" w:cs="仿宋_GB2312"/>
          <w:kern w:val="0"/>
          <w:sz w:val="32"/>
          <w:szCs w:val="32"/>
          <w:lang w:val="en-US" w:eastAsia="zh-CN"/>
        </w:rPr>
        <w:t>罗家坳无害化处理场渗滤液处理系统运营服务及配套设施费为代编预算</w:t>
      </w:r>
      <w:r>
        <w:rPr>
          <w:rFonts w:hint="eastAsia" w:eastAsia="仿宋_GB2312" w:cs="仿宋_GB2312"/>
          <w:color w:val="000000" w:themeColor="text1"/>
          <w:kern w:val="0"/>
          <w:sz w:val="32"/>
          <w:szCs w:val="32"/>
          <w:lang w:val="en-US" w:eastAsia="zh-CN"/>
          <w14:textFill>
            <w14:solidFill>
              <w14:schemeClr w14:val="tx1"/>
            </w14:solidFill>
          </w14:textFill>
        </w:rPr>
        <w:t>252</w:t>
      </w:r>
      <w:r>
        <w:rPr>
          <w:rFonts w:hint="eastAsia" w:eastAsia="仿宋_GB2312" w:cs="仿宋_GB2312"/>
          <w:kern w:val="0"/>
          <w:sz w:val="32"/>
          <w:szCs w:val="32"/>
          <w:lang w:val="en-US" w:eastAsia="zh-CN"/>
        </w:rPr>
        <w:t>万元、</w:t>
      </w:r>
      <w:r>
        <w:rPr>
          <w:rFonts w:hint="eastAsia" w:eastAsia="仿宋_GB2312" w:cs="仿宋_GB2312"/>
          <w:color w:val="000000" w:themeColor="text1"/>
          <w:kern w:val="0"/>
          <w:sz w:val="32"/>
          <w:szCs w:val="32"/>
          <w:lang w:val="en-US" w:eastAsia="zh-CN"/>
          <w14:textFill>
            <w14:solidFill>
              <w14:schemeClr w14:val="tx1"/>
            </w14:solidFill>
          </w14:textFill>
        </w:rPr>
        <w:t>日常工作经费37.5万元，</w:t>
      </w:r>
      <w:r>
        <w:rPr>
          <w:rFonts w:hint="eastAsia" w:eastAsia="仿宋_GB2312" w:cs="仿宋_GB2312"/>
          <w:kern w:val="0"/>
          <w:sz w:val="32"/>
          <w:szCs w:val="32"/>
          <w:lang w:val="en-US" w:eastAsia="zh-CN"/>
        </w:rPr>
        <w:t>年中预算调整后项目预算总金额为370.23万元。</w:t>
      </w:r>
    </w:p>
    <w:p w14:paraId="79D6EB3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kern w:val="0"/>
          <w:sz w:val="32"/>
          <w:szCs w:val="32"/>
          <w:lang w:val="en-US" w:eastAsia="zh-CN"/>
        </w:rPr>
      </w:pPr>
      <w:r>
        <w:rPr>
          <w:rFonts w:hint="eastAsia" w:eastAsia="仿宋_GB2312" w:cs="仿宋_GB2312"/>
          <w:kern w:val="0"/>
          <w:sz w:val="32"/>
          <w:szCs w:val="32"/>
          <w:lang w:val="en-US" w:eastAsia="zh-CN"/>
        </w:rPr>
        <w:t>2、专项资金安排落实、总投入和实际使用等情况分析</w:t>
      </w:r>
    </w:p>
    <w:p w14:paraId="23F80B94">
      <w:pPr>
        <w:keepNext w:val="0"/>
        <w:keepLines w:val="0"/>
        <w:pageBreakBefore w:val="0"/>
        <w:widowControl/>
        <w:numPr>
          <w:ilvl w:val="0"/>
          <w:numId w:val="0"/>
        </w:numPr>
        <w:kinsoku/>
        <w:wordWrap/>
        <w:overflowPunct/>
        <w:topLinePunct w:val="0"/>
        <w:autoSpaceDE/>
        <w:autoSpaceDN/>
        <w:bidi w:val="0"/>
        <w:adjustRightInd/>
        <w:snapToGrid/>
        <w:spacing w:line="560" w:lineRule="exact"/>
        <w:ind w:left="319" w:leftChars="114" w:firstLine="320" w:firstLineChars="100"/>
        <w:jc w:val="left"/>
        <w:textAlignment w:val="auto"/>
        <w:rPr>
          <w:rFonts w:hint="eastAsia" w:eastAsia="仿宋_GB2312" w:cs="仿宋_GB2312"/>
          <w:color w:val="000000" w:themeColor="text1"/>
          <w:kern w:val="0"/>
          <w:sz w:val="32"/>
          <w:szCs w:val="32"/>
          <w:lang w:val="en-US" w:eastAsia="zh-CN"/>
          <w14:textFill>
            <w14:solidFill>
              <w14:schemeClr w14:val="tx1"/>
            </w14:solidFill>
          </w14:textFill>
        </w:rPr>
      </w:pPr>
      <w:r>
        <w:rPr>
          <w:rFonts w:hint="eastAsia" w:eastAsia="仿宋_GB2312" w:cs="仿宋_GB2312"/>
          <w:color w:val="000000" w:themeColor="text1"/>
          <w:kern w:val="0"/>
          <w:sz w:val="32"/>
          <w:szCs w:val="32"/>
          <w:lang w:val="en-US" w:eastAsia="zh-CN"/>
          <w14:textFill>
            <w14:solidFill>
              <w14:schemeClr w14:val="tx1"/>
            </w14:solidFill>
          </w14:textFill>
        </w:rPr>
        <w:t>2025年度项目支出370.23万元，其中本年度罗家坳无害化处理场渗滤液处理系统运营服务费、渗滤液调节池清淤及静脉产业园区运维服务支出332.73万元，专项-日常工作经费37.5万元，</w:t>
      </w:r>
      <w:r>
        <w:rPr>
          <w:rFonts w:hint="eastAsia" w:ascii="仿宋_GB2312" w:hAnsi="仿宋_GB2312" w:eastAsia="仿宋_GB2312" w:cs="仿宋_GB2312"/>
          <w:color w:val="000000"/>
          <w:kern w:val="0"/>
          <w:sz w:val="32"/>
          <w:szCs w:val="32"/>
          <w:lang w:val="en-US" w:eastAsia="zh-CN" w:bidi="ar"/>
        </w:rPr>
        <w:t>量入为出，专款专用，杜绝挤占、截留，</w:t>
      </w:r>
      <w:r>
        <w:rPr>
          <w:rFonts w:hint="eastAsia" w:eastAsia="仿宋_GB2312" w:cs="仿宋_GB2312"/>
          <w:color w:val="000000" w:themeColor="text1"/>
          <w:kern w:val="0"/>
          <w:sz w:val="32"/>
          <w:szCs w:val="32"/>
          <w:lang w:val="en-US" w:eastAsia="zh-CN"/>
          <w14:textFill>
            <w14:solidFill>
              <w14:schemeClr w14:val="tx1"/>
            </w14:solidFill>
          </w14:textFill>
        </w:rPr>
        <w:t>严格控制支出规模，未出现超预算开支的情况。</w:t>
      </w:r>
    </w:p>
    <w:p w14:paraId="0882D544">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eastAsia="仿宋_GB2312" w:cs="仿宋_GB2312"/>
          <w:kern w:val="0"/>
          <w:sz w:val="32"/>
          <w:szCs w:val="32"/>
          <w:lang w:val="en-US" w:eastAsia="zh-CN"/>
        </w:rPr>
      </w:pPr>
      <w:r>
        <w:rPr>
          <w:rFonts w:hint="eastAsia" w:eastAsia="仿宋_GB2312" w:cs="仿宋_GB2312"/>
          <w:kern w:val="0"/>
          <w:sz w:val="32"/>
          <w:szCs w:val="32"/>
          <w:lang w:val="en-US" w:eastAsia="zh-CN"/>
        </w:rPr>
        <w:t xml:space="preserve">    3、专项资金管理情况分析</w:t>
      </w:r>
    </w:p>
    <w:p w14:paraId="1D42E6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b/>
          <w:sz w:val="32"/>
          <w:szCs w:val="32"/>
        </w:rPr>
      </w:pPr>
      <w:r>
        <w:rPr>
          <w:rFonts w:hint="eastAsia" w:eastAsia="仿宋_GB2312" w:cs="仿宋_GB2312"/>
          <w:kern w:val="0"/>
          <w:sz w:val="32"/>
          <w:szCs w:val="32"/>
          <w:lang w:val="en-US" w:eastAsia="zh-CN"/>
        </w:rPr>
        <w:t>我单位结合实际情况，制定了《预算业务管理制度》，从预算管理职责，预算编制，预算审批与分解下达流程，预算的执行、控制与调整，决算与绩效评价等方面对专项资金进行管理，做到专项资金预算编制有目标、预算执行有监控、预算完成有评价、评价结果有反馈、反馈结果有应用。专项</w:t>
      </w:r>
      <w:r>
        <w:rPr>
          <w:rFonts w:hint="eastAsia" w:ascii="仿宋_GB2312" w:hAnsi="仿宋_GB2312" w:eastAsia="仿宋_GB2312" w:cs="仿宋_GB2312"/>
          <w:color w:val="000000"/>
          <w:kern w:val="0"/>
          <w:sz w:val="32"/>
          <w:szCs w:val="32"/>
          <w:lang w:val="en-US" w:eastAsia="zh-CN" w:bidi="ar"/>
        </w:rPr>
        <w:t>资金实行综合预算，量入为出，专款专用，确保工作顺利开展。制定专项资金管理办法，规范专项资金使用；严格政府采购程序，做到按章办事，规范操作。</w:t>
      </w:r>
    </w:p>
    <w:p w14:paraId="079F3874">
      <w:pPr>
        <w:keepNext w:val="0"/>
        <w:keepLines w:val="0"/>
        <w:pageBreakBefore w:val="0"/>
        <w:kinsoku/>
        <w:wordWrap/>
        <w:overflowPunct/>
        <w:topLinePunct w:val="0"/>
        <w:autoSpaceDE/>
        <w:autoSpaceDN/>
        <w:bidi w:val="0"/>
        <w:adjustRightInd/>
        <w:snapToGrid/>
        <w:spacing w:line="580" w:lineRule="exact"/>
        <w:ind w:leftChars="0" w:firstLine="664" w:firstLineChars="200"/>
        <w:jc w:val="both"/>
        <w:textAlignment w:val="auto"/>
        <w:rPr>
          <w:rFonts w:hint="default" w:ascii="黑体" w:hAnsi="黑体" w:eastAsia="黑体" w:cs="黑体"/>
          <w:b w:val="0"/>
          <w:bCs w:val="0"/>
          <w:color w:val="000000"/>
          <w:spacing w:val="6"/>
          <w:kern w:val="2"/>
          <w:sz w:val="32"/>
          <w:szCs w:val="32"/>
          <w:lang w:val="en-US" w:eastAsia="zh-CN"/>
        </w:rPr>
      </w:pPr>
      <w:r>
        <w:rPr>
          <w:rFonts w:hint="default" w:ascii="黑体" w:hAnsi="黑体" w:eastAsia="黑体" w:cs="黑体"/>
          <w:b w:val="0"/>
          <w:bCs w:val="0"/>
          <w:color w:val="000000"/>
          <w:spacing w:val="6"/>
          <w:kern w:val="2"/>
          <w:sz w:val="32"/>
          <w:szCs w:val="32"/>
          <w:lang w:val="en-US" w:eastAsia="zh-CN"/>
        </w:rPr>
        <w:t>三、政府性基金预算</w:t>
      </w:r>
      <w:r>
        <w:rPr>
          <w:rFonts w:hint="eastAsia" w:ascii="黑体" w:hAnsi="黑体" w:eastAsia="黑体" w:cs="黑体"/>
          <w:b w:val="0"/>
          <w:bCs w:val="0"/>
          <w:color w:val="000000"/>
          <w:spacing w:val="6"/>
          <w:kern w:val="2"/>
          <w:sz w:val="32"/>
          <w:szCs w:val="32"/>
          <w:lang w:val="en-US" w:eastAsia="zh-CN"/>
        </w:rPr>
        <w:t>、</w:t>
      </w:r>
      <w:r>
        <w:rPr>
          <w:rFonts w:hint="default" w:ascii="黑体" w:hAnsi="黑体" w:eastAsia="黑体" w:cs="黑体"/>
          <w:b w:val="0"/>
          <w:bCs w:val="0"/>
          <w:color w:val="000000"/>
          <w:spacing w:val="6"/>
          <w:kern w:val="2"/>
          <w:sz w:val="32"/>
          <w:szCs w:val="32"/>
          <w:lang w:val="en-US" w:eastAsia="zh-CN"/>
        </w:rPr>
        <w:t>国有资本经营预算</w:t>
      </w:r>
      <w:r>
        <w:rPr>
          <w:rFonts w:hint="eastAsia" w:ascii="黑体" w:hAnsi="黑体" w:eastAsia="黑体" w:cs="黑体"/>
          <w:b w:val="0"/>
          <w:bCs w:val="0"/>
          <w:color w:val="000000"/>
          <w:spacing w:val="6"/>
          <w:kern w:val="2"/>
          <w:sz w:val="32"/>
          <w:szCs w:val="32"/>
          <w:lang w:val="en-US" w:eastAsia="zh-CN"/>
        </w:rPr>
        <w:t>、</w:t>
      </w:r>
      <w:r>
        <w:rPr>
          <w:rFonts w:hint="default" w:ascii="黑体" w:hAnsi="黑体" w:eastAsia="黑体" w:cs="黑体"/>
          <w:b w:val="0"/>
          <w:bCs w:val="0"/>
          <w:color w:val="000000"/>
          <w:spacing w:val="6"/>
          <w:kern w:val="2"/>
          <w:sz w:val="32"/>
          <w:szCs w:val="32"/>
          <w:lang w:val="en-US" w:eastAsia="zh-CN"/>
        </w:rPr>
        <w:t>社会保险基金预算支出情况</w:t>
      </w:r>
    </w:p>
    <w:p w14:paraId="05AA8B21">
      <w:pPr>
        <w:pStyle w:val="13"/>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rPr>
      </w:pPr>
      <w:r>
        <w:rPr>
          <w:rFonts w:hint="eastAsia" w:ascii="仿宋_GB2312" w:hAnsi="仿宋_GB2312" w:eastAsia="仿宋_GB2312" w:cs="仿宋_GB2312"/>
          <w:sz w:val="32"/>
          <w:szCs w:val="32"/>
          <w:lang w:val="en-US" w:eastAsia="zh-CN"/>
        </w:rPr>
        <w:t>我单位无</w:t>
      </w:r>
      <w:r>
        <w:rPr>
          <w:rFonts w:hint="eastAsia" w:ascii="仿宋_GB2312" w:hAnsi="仿宋_GB2312" w:eastAsia="仿宋_GB2312" w:cs="仿宋_GB2312"/>
          <w:sz w:val="32"/>
          <w:szCs w:val="32"/>
        </w:rPr>
        <w:t>政府性基金预算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国有资本经营预算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社会保险基金预算支出</w:t>
      </w:r>
      <w:r>
        <w:rPr>
          <w:rFonts w:hint="eastAsia" w:ascii="仿宋_GB2312" w:hAnsi="仿宋_GB2312" w:eastAsia="仿宋_GB2312" w:cs="仿宋_GB2312"/>
          <w:sz w:val="32"/>
          <w:szCs w:val="32"/>
          <w:lang w:val="en-US" w:eastAsia="zh-CN"/>
        </w:rPr>
        <w:t>。</w:t>
      </w:r>
    </w:p>
    <w:p w14:paraId="5619B237">
      <w:pPr>
        <w:keepNext w:val="0"/>
        <w:keepLines w:val="0"/>
        <w:pageBreakBefore w:val="0"/>
        <w:kinsoku/>
        <w:wordWrap/>
        <w:overflowPunct/>
        <w:topLinePunct w:val="0"/>
        <w:autoSpaceDE/>
        <w:autoSpaceDN/>
        <w:bidi w:val="0"/>
        <w:adjustRightInd/>
        <w:snapToGrid/>
        <w:spacing w:line="580" w:lineRule="exact"/>
        <w:ind w:leftChars="0" w:firstLine="664" w:firstLineChars="200"/>
        <w:jc w:val="both"/>
        <w:textAlignment w:val="auto"/>
        <w:rPr>
          <w:rFonts w:hint="default" w:ascii="黑体" w:hAnsi="黑体" w:eastAsia="黑体" w:cs="黑体"/>
          <w:b w:val="0"/>
          <w:bCs w:val="0"/>
          <w:color w:val="000000"/>
          <w:spacing w:val="6"/>
          <w:kern w:val="2"/>
          <w:sz w:val="32"/>
          <w:szCs w:val="32"/>
          <w:lang w:val="en-US" w:eastAsia="zh-CN"/>
        </w:rPr>
      </w:pPr>
      <w:r>
        <w:rPr>
          <w:rFonts w:hint="eastAsia" w:ascii="黑体" w:hAnsi="黑体" w:eastAsia="黑体" w:cs="黑体"/>
          <w:b w:val="0"/>
          <w:bCs w:val="0"/>
          <w:color w:val="000000"/>
          <w:spacing w:val="6"/>
          <w:kern w:val="2"/>
          <w:sz w:val="32"/>
          <w:szCs w:val="32"/>
          <w:lang w:val="en-US" w:eastAsia="zh-CN"/>
        </w:rPr>
        <w:t>四</w:t>
      </w:r>
      <w:r>
        <w:rPr>
          <w:rFonts w:hint="default" w:ascii="黑体" w:hAnsi="黑体" w:eastAsia="黑体" w:cs="黑体"/>
          <w:b w:val="0"/>
          <w:bCs w:val="0"/>
          <w:color w:val="000000"/>
          <w:spacing w:val="6"/>
          <w:kern w:val="2"/>
          <w:sz w:val="32"/>
          <w:szCs w:val="32"/>
          <w:lang w:val="en-US" w:eastAsia="zh-CN"/>
        </w:rPr>
        <w:t>、部门整体支出绩效情况</w:t>
      </w:r>
    </w:p>
    <w:p w14:paraId="24877B0B">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（一）年度绩效目标</w:t>
      </w:r>
    </w:p>
    <w:p w14:paraId="38FC3DB5">
      <w:pPr>
        <w:keepNext w:val="0"/>
        <w:keepLines w:val="0"/>
        <w:pageBreakBefore w:val="0"/>
        <w:kinsoku/>
        <w:wordWrap/>
        <w:overflowPunct/>
        <w:topLinePunct w:val="0"/>
        <w:autoSpaceDE/>
        <w:autoSpaceDN/>
        <w:bidi w:val="0"/>
        <w:adjustRightInd/>
        <w:snapToGrid/>
        <w:spacing w:line="560" w:lineRule="exact"/>
        <w:ind w:firstLine="664" w:firstLineChars="200"/>
        <w:textAlignment w:val="auto"/>
        <w:rPr>
          <w:rFonts w:hint="eastAsia"/>
          <w:lang w:val="en-US" w:eastAsia="zh-CN"/>
        </w:rPr>
      </w:pPr>
      <w:r>
        <w:rPr>
          <w:rFonts w:hint="eastAsia" w:ascii="仿宋_GB2312" w:hAnsi="Times New Roman" w:eastAsia="仿宋_GB2312" w:cs="Times New Roman"/>
          <w:color w:val="000000"/>
          <w:spacing w:val="6"/>
          <w:sz w:val="32"/>
          <w:szCs w:val="32"/>
          <w:lang w:val="en-US" w:eastAsia="zh-CN"/>
        </w:rPr>
        <w:t>2025年，我中心深入贯彻落实习近平生态文明思想，</w:t>
      </w:r>
      <w:r>
        <w:rPr>
          <w:rFonts w:hint="eastAsia" w:ascii="仿宋_GB2312" w:hAnsi="仿宋_GB2312" w:eastAsia="仿宋_GB2312" w:cs="仿宋_GB2312"/>
          <w:sz w:val="32"/>
          <w:szCs w:val="32"/>
          <w:lang w:val="en-US" w:eastAsia="zh-CN"/>
        </w:rPr>
        <w:t>在市委、市政府及城管局党组的坚强领导下，</w:t>
      </w:r>
      <w:r>
        <w:rPr>
          <w:rFonts w:hint="eastAsia" w:ascii="仿宋_GB2312" w:hAnsi="Times New Roman" w:eastAsia="仿宋_GB2312" w:cs="Times New Roman"/>
          <w:color w:val="000000"/>
          <w:spacing w:val="6"/>
          <w:sz w:val="32"/>
          <w:szCs w:val="32"/>
          <w:lang w:val="en-US" w:eastAsia="zh-CN"/>
        </w:rPr>
        <w:t>紧密围绕“1376”总体规划和“六大城管”核心理念，以队伍建设为基础，以责任担当为驱动，全力推动我市垃圾分类末端处置工作健康、稳定、可持续发展。</w:t>
      </w:r>
    </w:p>
    <w:p w14:paraId="33FF1F30">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楷体_GB2312" w:hAnsi="楷体_GB2312" w:eastAsia="楷体_GB2312" w:cs="楷体_GB2312"/>
          <w:b/>
          <w:bCs/>
          <w:strike w:val="0"/>
          <w:dstrike w:val="0"/>
          <w:color w:val="000000"/>
          <w:kern w:val="2"/>
          <w:sz w:val="32"/>
          <w:szCs w:val="32"/>
          <w:lang w:val="en-US" w:eastAsia="zh-CN" w:bidi="ar-SA"/>
        </w:rPr>
        <w:t>（二）</w:t>
      </w:r>
      <w:r>
        <w:rPr>
          <w:rFonts w:hint="eastAsia" w:ascii="方正楷体_GB2312" w:hAnsi="方正楷体_GB2312" w:eastAsia="方正楷体_GB2312" w:cs="方正楷体_GB2312"/>
          <w:b/>
          <w:bCs/>
          <w:strike w:val="0"/>
          <w:dstrike w:val="0"/>
          <w:color w:val="000000"/>
          <w:kern w:val="2"/>
          <w:sz w:val="32"/>
          <w:szCs w:val="32"/>
          <w:lang w:val="en-US" w:eastAsia="zh-CN" w:bidi="ar-SA"/>
        </w:rPr>
        <w:t>单位预算、支出及绩效管理情况</w:t>
      </w:r>
    </w:p>
    <w:p w14:paraId="64BCEC41">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highlight w:val="none"/>
        </w:rPr>
        <w:t>《中华人民共和国预算法》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《政府会计制度》</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中共</w:t>
      </w:r>
      <w:r>
        <w:rPr>
          <w:rFonts w:hint="eastAsia" w:ascii="仿宋_GB2312" w:hAnsi="仿宋_GB2312" w:eastAsia="仿宋_GB2312" w:cs="仿宋_GB2312"/>
          <w:sz w:val="32"/>
          <w:szCs w:val="32"/>
        </w:rPr>
        <w:t>岳阳市</w:t>
      </w:r>
      <w:r>
        <w:rPr>
          <w:rFonts w:hint="eastAsia" w:ascii="仿宋_GB2312" w:hAnsi="仿宋_GB2312" w:eastAsia="仿宋_GB2312" w:cs="仿宋_GB2312"/>
          <w:sz w:val="32"/>
          <w:szCs w:val="32"/>
          <w:lang w:eastAsia="zh-CN"/>
        </w:rPr>
        <w:t>委办公室</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岳阳市人民政府办公室关于</w:t>
      </w:r>
      <w:r>
        <w:rPr>
          <w:rFonts w:hint="eastAsia" w:ascii="仿宋_GB2312" w:hAnsi="仿宋_GB2312" w:eastAsia="仿宋_GB2312" w:cs="仿宋_GB2312"/>
          <w:sz w:val="32"/>
          <w:szCs w:val="32"/>
          <w:lang w:eastAsia="zh-CN"/>
        </w:rPr>
        <w:t>印发〈岳阳市预算绩效管理实施办法〉</w:t>
      </w:r>
      <w:r>
        <w:rPr>
          <w:rFonts w:hint="eastAsia" w:ascii="仿宋_GB2312" w:hAnsi="仿宋_GB2312" w:eastAsia="仿宋_GB2312" w:cs="仿宋_GB2312"/>
          <w:sz w:val="32"/>
          <w:szCs w:val="32"/>
        </w:rPr>
        <w:t>的通知》（岳办</w:t>
      </w:r>
      <w:r>
        <w:rPr>
          <w:rFonts w:hint="eastAsia" w:ascii="仿宋_GB2312" w:hAnsi="仿宋_GB2312" w:eastAsia="仿宋_GB2312" w:cs="仿宋_GB2312"/>
          <w:sz w:val="32"/>
          <w:szCs w:val="32"/>
          <w:lang w:eastAsia="zh-CN"/>
        </w:rPr>
        <w:t>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及其他相关文件精神，中心成立了绩效评价及监督小组，定期开展相关工作。</w:t>
      </w:r>
    </w:p>
    <w:p w14:paraId="0D240A7F">
      <w:pPr>
        <w:keepNext w:val="0"/>
        <w:keepLines w:val="0"/>
        <w:pageBreakBefore w:val="0"/>
        <w:widowControl/>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pacing w:val="6"/>
          <w:kern w:val="0"/>
          <w:sz w:val="32"/>
          <w:szCs w:val="32"/>
          <w:lang w:val="en-US" w:eastAsia="zh-CN"/>
        </w:rPr>
        <w:t>1、加强资金</w:t>
      </w:r>
      <w:r>
        <w:rPr>
          <w:rFonts w:hint="eastAsia" w:ascii="仿宋_GB2312" w:hAnsi="仿宋_GB2312" w:eastAsia="仿宋_GB2312" w:cs="仿宋_GB2312"/>
          <w:spacing w:val="6"/>
          <w:kern w:val="0"/>
          <w:sz w:val="32"/>
          <w:szCs w:val="32"/>
        </w:rPr>
        <w:t>预算管理</w:t>
      </w:r>
      <w:r>
        <w:rPr>
          <w:rFonts w:hint="eastAsia" w:ascii="仿宋_GB2312" w:hAnsi="仿宋_GB2312" w:eastAsia="仿宋_GB2312" w:cs="仿宋_GB2312"/>
          <w:spacing w:val="6"/>
          <w:kern w:val="0"/>
          <w:sz w:val="32"/>
          <w:szCs w:val="32"/>
          <w:lang w:val="en-US" w:eastAsia="zh-CN"/>
        </w:rPr>
        <w:t>，我单位从预算编制环节入手，编制</w:t>
      </w:r>
      <w:r>
        <w:rPr>
          <w:rFonts w:hint="eastAsia" w:ascii="仿宋_GB2312" w:hAnsi="仿宋_GB2312" w:eastAsia="仿宋_GB2312" w:cs="仿宋_GB2312"/>
          <w:spacing w:val="6"/>
          <w:kern w:val="0"/>
          <w:sz w:val="32"/>
          <w:szCs w:val="32"/>
        </w:rPr>
        <w:t>资金预算</w:t>
      </w:r>
      <w:r>
        <w:rPr>
          <w:rFonts w:hint="eastAsia" w:ascii="仿宋_GB2312" w:hAnsi="仿宋_GB2312" w:eastAsia="仿宋_GB2312" w:cs="仿宋_GB2312"/>
          <w:spacing w:val="6"/>
          <w:kern w:val="0"/>
          <w:sz w:val="32"/>
          <w:szCs w:val="32"/>
          <w:lang w:val="en-US" w:eastAsia="zh-CN"/>
        </w:rPr>
        <w:t>必须先</w:t>
      </w:r>
      <w:r>
        <w:rPr>
          <w:rFonts w:hint="eastAsia" w:ascii="仿宋_GB2312" w:hAnsi="仿宋_GB2312" w:eastAsia="仿宋_GB2312" w:cs="仿宋_GB2312"/>
          <w:spacing w:val="6"/>
          <w:kern w:val="0"/>
          <w:sz w:val="32"/>
          <w:szCs w:val="32"/>
        </w:rPr>
        <w:t>编制</w:t>
      </w:r>
      <w:r>
        <w:rPr>
          <w:rFonts w:hint="eastAsia" w:ascii="仿宋_GB2312" w:hAnsi="仿宋_GB2312" w:eastAsia="仿宋_GB2312" w:cs="仿宋_GB2312"/>
          <w:spacing w:val="6"/>
          <w:kern w:val="0"/>
          <w:sz w:val="32"/>
          <w:szCs w:val="32"/>
          <w:lang w:val="en-US" w:eastAsia="zh-CN"/>
        </w:rPr>
        <w:t>预算绩效</w:t>
      </w:r>
      <w:r>
        <w:rPr>
          <w:rFonts w:hint="eastAsia" w:ascii="仿宋_GB2312" w:hAnsi="仿宋_GB2312" w:eastAsia="仿宋_GB2312" w:cs="仿宋_GB2312"/>
          <w:spacing w:val="6"/>
          <w:kern w:val="0"/>
          <w:sz w:val="32"/>
          <w:szCs w:val="32"/>
        </w:rPr>
        <w:t>目标</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做到资金预算有目标，确保了财政资金支出效益。2025年组织开展了</w:t>
      </w:r>
      <w:r>
        <w:rPr>
          <w:rFonts w:hint="eastAsia" w:ascii="仿宋_GB2312" w:hAnsi="仿宋_GB2312" w:eastAsia="仿宋_GB2312" w:cs="仿宋_GB2312"/>
          <w:spacing w:val="6"/>
          <w:kern w:val="0"/>
          <w:sz w:val="32"/>
          <w:szCs w:val="32"/>
        </w:rPr>
        <w:t>预算执行监控</w:t>
      </w:r>
      <w:r>
        <w:rPr>
          <w:rFonts w:hint="eastAsia" w:ascii="仿宋_GB2312" w:hAnsi="仿宋_GB2312" w:eastAsia="仿宋_GB2312" w:cs="仿宋_GB2312"/>
          <w:spacing w:val="6"/>
          <w:kern w:val="0"/>
          <w:sz w:val="32"/>
          <w:szCs w:val="32"/>
          <w:lang w:val="en-US" w:eastAsia="zh-CN"/>
        </w:rPr>
        <w:t>工作和经费支出进行绩效自评工作，做到了</w:t>
      </w:r>
      <w:r>
        <w:rPr>
          <w:rFonts w:hint="eastAsia" w:ascii="仿宋_GB2312" w:hAnsi="仿宋_GB2312" w:eastAsia="仿宋_GB2312" w:cs="仿宋_GB2312"/>
          <w:spacing w:val="6"/>
          <w:kern w:val="0"/>
          <w:sz w:val="32"/>
          <w:szCs w:val="32"/>
        </w:rPr>
        <w:t>预算</w:t>
      </w:r>
      <w:r>
        <w:rPr>
          <w:rFonts w:hint="eastAsia" w:ascii="仿宋_GB2312" w:hAnsi="仿宋_GB2312" w:eastAsia="仿宋_GB2312" w:cs="仿宋_GB2312"/>
          <w:spacing w:val="6"/>
          <w:kern w:val="0"/>
          <w:sz w:val="32"/>
          <w:szCs w:val="32"/>
          <w:lang w:val="en-US" w:eastAsia="zh-CN"/>
        </w:rPr>
        <w:t>执行</w:t>
      </w:r>
      <w:r>
        <w:rPr>
          <w:rFonts w:hint="eastAsia" w:ascii="仿宋_GB2312" w:hAnsi="仿宋_GB2312" w:eastAsia="仿宋_GB2312" w:cs="仿宋_GB2312"/>
          <w:spacing w:val="6"/>
          <w:kern w:val="0"/>
          <w:sz w:val="32"/>
          <w:szCs w:val="32"/>
        </w:rPr>
        <w:t>完成有评价</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使单位经济业务从事前、事中、事后得到</w:t>
      </w:r>
      <w:r>
        <w:rPr>
          <w:rFonts w:hint="eastAsia" w:ascii="仿宋_GB2312" w:hAnsi="仿宋_GB2312" w:eastAsia="仿宋_GB2312" w:cs="仿宋_GB2312"/>
          <w:spacing w:val="6"/>
          <w:kern w:val="0"/>
          <w:sz w:val="32"/>
          <w:szCs w:val="32"/>
          <w:lang w:val="en-US" w:eastAsia="zh-CN"/>
        </w:rPr>
        <w:t>了</w:t>
      </w:r>
      <w:r>
        <w:rPr>
          <w:rFonts w:hint="eastAsia" w:ascii="仿宋_GB2312" w:hAnsi="仿宋_GB2312" w:eastAsia="仿宋_GB2312" w:cs="仿宋_GB2312"/>
          <w:spacing w:val="6"/>
          <w:kern w:val="0"/>
          <w:sz w:val="32"/>
          <w:szCs w:val="32"/>
        </w:rPr>
        <w:t>有效管控</w:t>
      </w:r>
      <w:r>
        <w:rPr>
          <w:rFonts w:hint="eastAsia" w:ascii="仿宋_GB2312" w:hAnsi="仿宋_GB2312" w:eastAsia="仿宋_GB2312" w:cs="仿宋_GB2312"/>
          <w:spacing w:val="6"/>
          <w:kern w:val="0"/>
          <w:sz w:val="32"/>
          <w:szCs w:val="32"/>
          <w:lang w:eastAsia="zh-CN"/>
        </w:rPr>
        <w:t>。</w:t>
      </w:r>
    </w:p>
    <w:p w14:paraId="3B1E9B52">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 xml:space="preserve"> 2、</w:t>
      </w:r>
      <w:r>
        <w:rPr>
          <w:rFonts w:hint="eastAsia" w:ascii="仿宋_GB2312" w:hAnsi="仿宋_GB2312" w:eastAsia="仿宋_GB2312" w:cs="仿宋_GB2312"/>
          <w:color w:val="000000"/>
          <w:kern w:val="0"/>
          <w:sz w:val="32"/>
          <w:szCs w:val="32"/>
          <w:lang w:val="en-US" w:eastAsia="zh-CN" w:bidi="ar-SA"/>
        </w:rPr>
        <w:t>资金使用管理严格按照《预算法》、《政府会计制度》、岳阳市财政局《关于进一步规范专项资金使用流程的通知》我单位《财务管理制度》执行。</w:t>
      </w:r>
      <w:r>
        <w:rPr>
          <w:rFonts w:hint="eastAsia" w:ascii="Times New Roman" w:hAnsi="Times New Roman" w:eastAsia="仿宋_GB2312" w:cs="Times New Roman"/>
          <w:color w:val="000000"/>
          <w:kern w:val="0"/>
          <w:sz w:val="32"/>
          <w:szCs w:val="32"/>
          <w:lang w:val="en-US" w:eastAsia="zh-CN" w:bidi="ar-SA"/>
        </w:rPr>
        <w:t>资金使用合规，无截留、挪用资金等情况。</w:t>
      </w:r>
      <w:r>
        <w:rPr>
          <w:rFonts w:hint="eastAsia" w:ascii="仿宋_GB2312" w:hAnsi="仿宋_GB2312" w:eastAsia="仿宋_GB2312" w:cs="仿宋_GB2312"/>
          <w:bCs/>
          <w:sz w:val="32"/>
          <w:szCs w:val="32"/>
          <w:lang w:val="en-US" w:eastAsia="zh-CN"/>
        </w:rPr>
        <w:t>专项资金经依法批准的预算执行，按照专款专用的原则，进行日常财务管理和会计核算，配合市财政、监察和审计等部门对项目专项资金的使用和管理情况进行监督检查，并开展绩效评价工作。</w:t>
      </w:r>
      <w:r>
        <w:rPr>
          <w:rFonts w:hint="eastAsia" w:ascii="Times New Roman" w:hAnsi="Times New Roman" w:eastAsia="仿宋_GB2312" w:cs="Times New Roman"/>
          <w:color w:val="000000"/>
          <w:kern w:val="0"/>
          <w:sz w:val="32"/>
          <w:szCs w:val="32"/>
          <w:lang w:val="en-US" w:eastAsia="zh-CN" w:bidi="ar-SA"/>
        </w:rPr>
        <w:t>预决算信息内容均在部门网站公示，公开信息基础数据信息和会计信息资料准确、真实、完整。</w:t>
      </w:r>
    </w:p>
    <w:p w14:paraId="1903F383">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3、我单位采购项目严格按《岳阳市预算单位政府集中采购目录及标准指引(2022版)》（岳财发〔2022〕2号）和（湘财购〔2019〕27号）等相关制度程序办理，2025年度</w:t>
      </w:r>
      <w:r>
        <w:rPr>
          <w:rFonts w:hint="eastAsia" w:ascii="Times New Roman" w:hAnsi="Times New Roman" w:eastAsia="仿宋_GB2312" w:cs="Times New Roman"/>
          <w:color w:val="000000"/>
          <w:kern w:val="0"/>
          <w:sz w:val="32"/>
          <w:szCs w:val="32"/>
          <w:highlight w:val="none"/>
          <w:lang w:val="en-US" w:eastAsia="zh-CN" w:bidi="ar-SA"/>
        </w:rPr>
        <w:t>我单位政府采购目录以内及政府采购限额以上项目采购总额为</w:t>
      </w:r>
      <w:r>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360.60</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万</w:t>
      </w:r>
      <w:r>
        <w:rPr>
          <w:rFonts w:hint="eastAsia" w:ascii="Times New Roman" w:hAnsi="Times New Roman" w:eastAsia="仿宋_GB2312" w:cs="Times New Roman"/>
          <w:color w:val="000000"/>
          <w:kern w:val="0"/>
          <w:sz w:val="32"/>
          <w:szCs w:val="32"/>
          <w:lang w:val="en-US" w:eastAsia="zh-CN" w:bidi="ar-SA"/>
        </w:rPr>
        <w:t>元。</w:t>
      </w:r>
    </w:p>
    <w:p w14:paraId="100B5B4A">
      <w:pPr>
        <w:pStyle w:val="13"/>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default" w:ascii="方正楷体_GB2312" w:hAnsi="方正楷体_GB2312" w:eastAsia="方正楷体_GB2312" w:cs="方正楷体_GB2312"/>
          <w:b/>
          <w:bCs/>
          <w:strike w:val="0"/>
          <w:dstrike w:val="0"/>
          <w:color w:val="000000"/>
          <w:kern w:val="2"/>
          <w:sz w:val="32"/>
          <w:szCs w:val="32"/>
          <w:lang w:val="en-US" w:eastAsia="zh-CN" w:bidi="ar-SA"/>
        </w:rPr>
        <w:t>（</w:t>
      </w:r>
      <w:r>
        <w:rPr>
          <w:rFonts w:hint="eastAsia" w:ascii="方正楷体_GB2312" w:hAnsi="方正楷体_GB2312" w:eastAsia="方正楷体_GB2312" w:cs="方正楷体_GB2312"/>
          <w:b/>
          <w:bCs/>
          <w:strike w:val="0"/>
          <w:dstrike w:val="0"/>
          <w:color w:val="000000"/>
          <w:kern w:val="2"/>
          <w:sz w:val="32"/>
          <w:szCs w:val="32"/>
          <w:lang w:val="en-US" w:eastAsia="zh-CN" w:bidi="ar-SA"/>
        </w:rPr>
        <w:t>三</w:t>
      </w:r>
      <w:r>
        <w:rPr>
          <w:rFonts w:hint="default" w:ascii="方正楷体_GB2312" w:hAnsi="方正楷体_GB2312" w:eastAsia="方正楷体_GB2312" w:cs="方正楷体_GB2312"/>
          <w:b/>
          <w:bCs/>
          <w:strike w:val="0"/>
          <w:dstrike w:val="0"/>
          <w:color w:val="000000"/>
          <w:kern w:val="2"/>
          <w:sz w:val="32"/>
          <w:szCs w:val="32"/>
          <w:lang w:val="en-US" w:eastAsia="zh-CN" w:bidi="ar-SA"/>
        </w:rPr>
        <w:t>）</w:t>
      </w:r>
      <w:r>
        <w:rPr>
          <w:rFonts w:hint="eastAsia" w:ascii="方正楷体_GB2312" w:hAnsi="方正楷体_GB2312" w:eastAsia="方正楷体_GB2312" w:cs="方正楷体_GB2312"/>
          <w:b/>
          <w:bCs/>
          <w:strike w:val="0"/>
          <w:dstrike w:val="0"/>
          <w:color w:val="000000"/>
          <w:kern w:val="2"/>
          <w:sz w:val="32"/>
          <w:szCs w:val="32"/>
          <w:lang w:val="en-US" w:eastAsia="zh-CN" w:bidi="ar-SA"/>
        </w:rPr>
        <w:t>固定资产和无形资产管理情况</w:t>
      </w:r>
    </w:p>
    <w:p w14:paraId="57D2D6E3">
      <w:pPr>
        <w:pStyle w:val="8"/>
        <w:keepNext w:val="0"/>
        <w:keepLines w:val="0"/>
        <w:pageBreakBefore w:val="0"/>
        <w:kinsoku/>
        <w:wordWrap/>
        <w:overflowPunct/>
        <w:topLinePunct w:val="0"/>
        <w:autoSpaceDE/>
        <w:autoSpaceDN/>
        <w:bidi w:val="0"/>
        <w:adjustRightInd/>
        <w:snapToGrid/>
        <w:spacing w:line="560" w:lineRule="exact"/>
        <w:ind w:left="0" w:leftChars="0" w:firstLine="640" w:firstLineChars="0"/>
        <w:jc w:val="left"/>
        <w:textAlignment w:val="auto"/>
        <w:rPr>
          <w:rFonts w:hint="eastAsia" w:ascii="仿宋_GB2312" w:hAnsi="仿宋_GB2312" w:eastAsia="仿宋_GB2312" w:cs="仿宋_GB2312"/>
          <w:bCs/>
          <w:color w:val="auto"/>
          <w:kern w:val="0"/>
          <w:sz w:val="32"/>
          <w:szCs w:val="32"/>
          <w:highlight w:val="none"/>
          <w:lang w:val="en-US" w:eastAsia="zh-CN" w:bidi="ar-SA"/>
        </w:rPr>
      </w:pPr>
      <w:r>
        <w:rPr>
          <w:rFonts w:hint="eastAsia" w:ascii="仿宋_GB2312" w:hAnsi="仿宋_GB2312" w:eastAsia="仿宋_GB2312" w:cs="仿宋_GB2312"/>
          <w:bCs/>
          <w:color w:val="auto"/>
          <w:kern w:val="0"/>
          <w:sz w:val="32"/>
          <w:szCs w:val="32"/>
          <w:highlight w:val="none"/>
          <w:lang w:val="en-US" w:eastAsia="zh-CN" w:bidi="ar-SA"/>
        </w:rPr>
        <w:t>1、2025年初，固定资产和无形资产账面原值为1032.92万元，本年度购置增加0万元，资产调拨入账25.72万元，年末账面原值为1058.64万元。</w:t>
      </w:r>
    </w:p>
    <w:p w14:paraId="1B4E673A">
      <w:pPr>
        <w:pStyle w:val="8"/>
        <w:keepNext w:val="0"/>
        <w:keepLines w:val="0"/>
        <w:pageBreakBefore w:val="0"/>
        <w:kinsoku/>
        <w:wordWrap/>
        <w:overflowPunct/>
        <w:topLinePunct w:val="0"/>
        <w:autoSpaceDE/>
        <w:autoSpaceDN/>
        <w:bidi w:val="0"/>
        <w:adjustRightInd/>
        <w:snapToGrid/>
        <w:spacing w:line="560" w:lineRule="exact"/>
        <w:ind w:left="0" w:leftChars="0" w:firstLine="640" w:firstLineChars="0"/>
        <w:jc w:val="left"/>
        <w:textAlignment w:val="auto"/>
        <w:rPr>
          <w:rFonts w:hint="eastAsia" w:ascii="仿宋_GB2312" w:hAnsi="仿宋_GB2312" w:eastAsia="仿宋_GB2312" w:cs="仿宋_GB2312"/>
          <w:bCs/>
          <w:sz w:val="32"/>
          <w:szCs w:val="32"/>
          <w:highlight w:val="none"/>
          <w:lang w:val="en-US" w:eastAsia="zh-CN"/>
        </w:rPr>
      </w:pPr>
      <w:r>
        <w:rPr>
          <w:rFonts w:hint="eastAsia" w:ascii="Times New Roman" w:hAnsi="Times New Roman" w:eastAsia="仿宋_GB2312" w:cs="Times New Roman"/>
          <w:color w:val="000000"/>
          <w:kern w:val="0"/>
          <w:sz w:val="32"/>
          <w:szCs w:val="32"/>
          <w:lang w:val="en-US" w:eastAsia="zh-CN" w:bidi="ar-SA"/>
        </w:rPr>
        <w:t>2、定期</w:t>
      </w:r>
      <w:r>
        <w:rPr>
          <w:rFonts w:hint="eastAsia" w:ascii="仿宋_GB2312" w:hAnsi="仿宋_GB2312" w:eastAsia="仿宋_GB2312" w:cs="仿宋_GB2312"/>
          <w:bCs/>
          <w:sz w:val="32"/>
          <w:szCs w:val="32"/>
          <w:highlight w:val="none"/>
          <w:lang w:val="en-US" w:eastAsia="zh-CN"/>
        </w:rPr>
        <w:t>开展清查和资产盘点，并根据本单位实际情况，修订了资产管理制度，加强实物管理。按照厉行节约、物尽其用的原则，资产管理采取统一建帐、统一核算管理，对每件固定资产使用明确保管职责，闲置的资产，由单位办公室统一调整，合理流动，发挥其效益。</w:t>
      </w:r>
    </w:p>
    <w:p w14:paraId="148342F2">
      <w:pPr>
        <w:pStyle w:val="8"/>
        <w:keepNext w:val="0"/>
        <w:keepLines w:val="0"/>
        <w:pageBreakBefore w:val="0"/>
        <w:kinsoku/>
        <w:wordWrap/>
        <w:overflowPunct/>
        <w:topLinePunct w:val="0"/>
        <w:autoSpaceDE/>
        <w:autoSpaceDN/>
        <w:bidi w:val="0"/>
        <w:adjustRightInd/>
        <w:snapToGrid/>
        <w:spacing w:line="560" w:lineRule="exact"/>
        <w:ind w:left="0" w:leftChars="0" w:firstLine="640" w:firstLineChars="0"/>
        <w:jc w:val="left"/>
        <w:textAlignment w:val="auto"/>
        <w:rPr>
          <w:rFonts w:hint="eastAsia" w:ascii="仿宋_GB2312" w:hAnsi="仿宋_GB2312" w:eastAsia="仿宋_GB2312" w:cs="仿宋_GB2312"/>
          <w:bCs/>
          <w:sz w:val="32"/>
          <w:szCs w:val="32"/>
          <w:highlight w:val="none"/>
          <w:lang w:val="en-US" w:eastAsia="zh-CN"/>
        </w:rPr>
      </w:pPr>
      <w:r>
        <w:rPr>
          <w:rFonts w:hint="eastAsia" w:ascii="Times New Roman" w:hAnsi="Times New Roman" w:eastAsia="仿宋_GB2312" w:cs="Times New Roman"/>
          <w:color w:val="000000"/>
          <w:kern w:val="0"/>
          <w:sz w:val="32"/>
          <w:szCs w:val="32"/>
          <w:lang w:val="en-US" w:eastAsia="zh-CN" w:bidi="ar-SA"/>
        </w:rPr>
        <w:t>3</w:t>
      </w:r>
      <w:r>
        <w:rPr>
          <w:rFonts w:hint="default" w:ascii="Times New Roman" w:hAnsi="Times New Roman" w:eastAsia="仿宋_GB2312" w:cs="Times New Roman"/>
          <w:color w:val="000000"/>
          <w:kern w:val="0"/>
          <w:sz w:val="32"/>
          <w:szCs w:val="32"/>
          <w:lang w:val="en-US" w:eastAsia="zh-CN" w:bidi="ar-SA"/>
        </w:rPr>
        <w:t>、根据《岳阳市市直行政事业单位通用资产配置标准》（岳财发〔2018〕12号）落实了固定资产从购置、使用、清查</w:t>
      </w:r>
      <w:r>
        <w:rPr>
          <w:rFonts w:hint="eastAsia" w:ascii="Times New Roman" w:hAnsi="Times New Roman" w:eastAsia="仿宋_GB2312" w:cs="Times New Roman"/>
          <w:color w:val="000000"/>
          <w:kern w:val="0"/>
          <w:sz w:val="32"/>
          <w:szCs w:val="32"/>
          <w:lang w:val="en-US" w:eastAsia="zh-CN" w:bidi="ar-SA"/>
        </w:rPr>
        <w:t>、</w:t>
      </w:r>
      <w:r>
        <w:rPr>
          <w:rFonts w:hint="default" w:ascii="Times New Roman" w:hAnsi="Times New Roman" w:eastAsia="仿宋_GB2312" w:cs="Times New Roman"/>
          <w:color w:val="000000"/>
          <w:kern w:val="0"/>
          <w:sz w:val="32"/>
          <w:szCs w:val="32"/>
          <w:lang w:val="en-US" w:eastAsia="zh-CN" w:bidi="ar-SA"/>
        </w:rPr>
        <w:t>处置、交接的规范化管理，明确了职责，保障了国有资产安全，提高了国有资产的使用效率。</w:t>
      </w:r>
    </w:p>
    <w:p w14:paraId="49F04863">
      <w:pPr>
        <w:pStyle w:val="13"/>
        <w:keepNext w:val="0"/>
        <w:keepLines w:val="0"/>
        <w:pageBreakBefore w:val="0"/>
        <w:widowControl/>
        <w:numPr>
          <w:ilvl w:val="0"/>
          <w:numId w:val="0"/>
        </w:numPr>
        <w:kinsoku/>
        <w:wordWrap/>
        <w:overflowPunct/>
        <w:topLinePunct w:val="0"/>
        <w:autoSpaceDE/>
        <w:autoSpaceDN/>
        <w:bidi w:val="0"/>
        <w:adjustRightInd/>
        <w:snapToGrid/>
        <w:spacing w:line="560" w:lineRule="exact"/>
        <w:ind w:firstLine="321" w:firstLineChars="100"/>
        <w:jc w:val="left"/>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（四）取得的效益情况：</w:t>
      </w:r>
    </w:p>
    <w:p w14:paraId="0C772E36">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bCs/>
          <w:kern w:val="0"/>
          <w:sz w:val="32"/>
          <w:szCs w:val="32"/>
          <w:highlight w:val="none"/>
          <w:lang w:val="en-US" w:eastAsia="zh-CN" w:bidi="ar-SA"/>
        </w:rPr>
      </w:pPr>
      <w:r>
        <w:rPr>
          <w:rFonts w:hint="eastAsia" w:ascii="楷体_GB2312" w:hAnsi="楷体_GB2312" w:eastAsia="楷体_GB2312" w:cs="楷体_GB2312"/>
          <w:b/>
          <w:bCs/>
          <w:strike w:val="0"/>
          <w:dstrike w:val="0"/>
          <w:color w:val="000000"/>
          <w:sz w:val="32"/>
          <w:szCs w:val="32"/>
          <w:lang w:val="en-US" w:eastAsia="zh-CN"/>
        </w:rPr>
        <w:t>1.监管服务赋能，筑牢安全、环保双底线。</w:t>
      </w:r>
      <w:r>
        <w:rPr>
          <w:rFonts w:hint="eastAsia" w:ascii="Times New Roman" w:hAnsi="Times New Roman" w:eastAsia="仿宋_GB2312" w:cs="Times New Roman"/>
          <w:color w:val="000000"/>
          <w:kern w:val="0"/>
          <w:sz w:val="32"/>
          <w:szCs w:val="32"/>
          <w:lang w:val="en-US" w:eastAsia="zh-CN" w:bidi="ar-SA"/>
        </w:rPr>
        <w:t>聚焦规范企业运营，强化干群服务意识，及时为企业对接发改、财政、环保等政府职能部门，争取国家建设资金、申请财政付费、协调解决企业急难愁盼问题，将党的宗旨意识贯穿始终。并结合运营管理实际情况，进一步完善管理制度，根据特许经营项目相关管理要求与规范，编制了各类管理制度和方案，实行绩效考评，强化园区日常监督管理全覆盖，充分履行中心职能职责。同时实行班子带班制，深入园区对消防、环保、生产设施设备进行全面安全检查，及时整改各类安全隐患，从上到下建立起安全生产监督监管体系，督促企业健全完善管理制度，保障园区企业持续安全平稳运行。</w:t>
      </w:r>
    </w:p>
    <w:p w14:paraId="21BD059A">
      <w:pPr>
        <w:pStyle w:val="7"/>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楷体_GB2312" w:hAnsi="楷体_GB2312" w:eastAsia="楷体_GB2312" w:cs="楷体_GB2312"/>
          <w:b/>
          <w:bCs/>
          <w:strike w:val="0"/>
          <w:dstrike w:val="0"/>
          <w:color w:val="000000"/>
          <w:sz w:val="32"/>
          <w:szCs w:val="32"/>
          <w:lang w:val="en-US" w:eastAsia="zh-CN"/>
        </w:rPr>
        <w:t>2.资源化利用多元化，破解源头减量困局。</w:t>
      </w:r>
      <w:r>
        <w:rPr>
          <w:rFonts w:hint="eastAsia" w:ascii="Times New Roman" w:hAnsi="Times New Roman" w:eastAsia="仿宋_GB2312" w:cs="Times New Roman"/>
          <w:color w:val="000000"/>
          <w:kern w:val="0"/>
          <w:sz w:val="32"/>
          <w:szCs w:val="32"/>
          <w:lang w:val="en-US" w:eastAsia="zh-CN" w:bidi="ar-SA"/>
        </w:rPr>
        <w:t>随着垃圾分类工作不断推进，全民参与前端分类收集与利用，使生活垃圾从源头开始实现了减量化，2025年统筹范围内共处置生活垃圾近52万吨（其中：中心城区约40.5万吨、岳阳县2.41万吨、临湘市约7.64万吨，入厂量约1420吨/天），较2024年入厂量下降4%。但企业通过对运营设备维修升级，提升了垃圾发电量，上网电量约1.9亿度，相当于节约标准煤约2.35万吨，绿色电力贡献突出。同时，随着循环经济的深入推进，焚烧不再仅是减量与发电，其资源化链条正不断延伸，生活垃圾焚烧的热能除供电外，逐步向医废处置、中非工业园供应蒸汽，年供汽1800余吨，实现了环境效益与经济效益的深度协同。</w:t>
      </w:r>
    </w:p>
    <w:p w14:paraId="05E3BE34">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楷体_GB2312" w:hAnsi="楷体_GB2312" w:eastAsia="楷体_GB2312" w:cs="楷体_GB2312"/>
          <w:b/>
          <w:bCs/>
          <w:strike w:val="0"/>
          <w:dstrike w:val="0"/>
          <w:color w:val="000000"/>
          <w:sz w:val="32"/>
          <w:szCs w:val="32"/>
          <w:lang w:val="en-US" w:eastAsia="zh-CN"/>
        </w:rPr>
        <w:t>3.厨余垃圾处置步入正轨，资源价值高效释放。</w:t>
      </w:r>
      <w:r>
        <w:rPr>
          <w:rFonts w:hint="eastAsia" w:ascii="Times New Roman" w:hAnsi="Times New Roman" w:eastAsia="仿宋_GB2312" w:cs="Times New Roman"/>
          <w:color w:val="000000"/>
          <w:kern w:val="0"/>
          <w:sz w:val="32"/>
          <w:szCs w:val="32"/>
          <w:lang w:val="en-US" w:eastAsia="zh-CN" w:bidi="ar-SA"/>
        </w:rPr>
        <w:t>厨余垃圾处置项目作为我市垃圾分类工作重要一环，自投运以来，在市委、市政府、市城管局及各部门单位的支持与关心下，运营企业从收运到处置，运行日趋成熟。日收运处理厨余垃圾稳定在150吨，收集提炼地沟油0.85吨，全年累计处置厨余垃圾约5.28万吨、地沟油约171.56吨。通过优化预处理与厌氧发酵工艺，全年产出餐厨油1969.1吨，资源化产品实现收益3388.15万元，为我市中心城区厨余垃圾处置做到“应收尽收、高效转化、效益多元”的可持续发展模式奠定了基础。</w:t>
      </w:r>
    </w:p>
    <w:p w14:paraId="221235FD">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楷体_GB2312" w:hAnsi="楷体_GB2312" w:eastAsia="楷体_GB2312" w:cs="楷体_GB2312"/>
          <w:b/>
          <w:bCs/>
          <w:strike w:val="0"/>
          <w:dstrike w:val="0"/>
          <w:color w:val="000000"/>
          <w:sz w:val="32"/>
          <w:szCs w:val="32"/>
          <w:lang w:val="en-US" w:eastAsia="zh-CN"/>
        </w:rPr>
        <w:t>4.闭环体系全面建设，筑牢防疫安全屏障。</w:t>
      </w:r>
      <w:r>
        <w:rPr>
          <w:rFonts w:hint="eastAsia" w:ascii="Times New Roman" w:hAnsi="Times New Roman" w:eastAsia="仿宋_GB2312" w:cs="Times New Roman"/>
          <w:color w:val="000000"/>
          <w:kern w:val="0"/>
          <w:sz w:val="32"/>
          <w:szCs w:val="32"/>
          <w:lang w:val="en-US" w:eastAsia="zh-CN" w:bidi="ar-SA"/>
        </w:rPr>
        <w:t>一直以来，我中心高度重视医疗垃圾无害化的闭环管理，从前端专人使用专用工具定时收集，台账实时记录产生点位、废物类别、重量、收集时间及经办人员，确保源头可溯；到中途安全运输采用专用转运车辆密闭消毒后，再通过车辆配备GPS实时追踪，运输过程实现电子围栏与轨迹监控，确保运输过程无缝衔接、责任到人；再到末端高温蒸煮、微波消毒，残渣入生活垃圾发电厂，多项措施协同处置医废垃圾，中心定期督查全流程是否详实录入台账，确保医疗垃圾末端处置安全可靠，筑牢我市防疫安全屏障。全年安全处置医疗废物约3900吨，初步建立起“政府监管、专业运营、可持续保障”的医废治理新范式，为公共卫生安全提供了关键基础设施支撑。</w:t>
      </w:r>
    </w:p>
    <w:p w14:paraId="600C328C">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楷体_GB2312" w:hAnsi="楷体_GB2312" w:eastAsia="楷体_GB2312" w:cs="楷体_GB2312"/>
          <w:b/>
          <w:bCs/>
          <w:strike w:val="0"/>
          <w:dstrike w:val="0"/>
          <w:color w:val="000000"/>
          <w:sz w:val="32"/>
          <w:szCs w:val="32"/>
          <w:lang w:val="en-US" w:eastAsia="zh-CN"/>
        </w:rPr>
        <w:t>5.优化营商环境，抓好配套建设管理。</w:t>
      </w:r>
      <w:r>
        <w:rPr>
          <w:rFonts w:hint="eastAsia" w:ascii="Times New Roman" w:hAnsi="Times New Roman" w:eastAsia="仿宋_GB2312" w:cs="Times New Roman"/>
          <w:color w:val="000000"/>
          <w:kern w:val="0"/>
          <w:sz w:val="32"/>
          <w:szCs w:val="32"/>
          <w:lang w:val="en-US" w:eastAsia="zh-CN" w:bidi="ar-SA"/>
        </w:rPr>
        <w:t>为服务好企业，我中心聚焦园区管理职能职责，</w:t>
      </w:r>
      <w:r>
        <w:rPr>
          <w:rFonts w:hint="eastAsia" w:ascii="Times New Roman" w:hAnsi="Times New Roman" w:eastAsia="仿宋_GB2312" w:cs="Times New Roman"/>
          <w:b/>
          <w:bCs/>
          <w:color w:val="000000"/>
          <w:kern w:val="0"/>
          <w:sz w:val="32"/>
          <w:szCs w:val="32"/>
          <w:lang w:val="en-US" w:eastAsia="zh-CN" w:bidi="ar-SA"/>
        </w:rPr>
        <w:t>一是</w:t>
      </w:r>
      <w:r>
        <w:rPr>
          <w:rFonts w:hint="eastAsia" w:ascii="Times New Roman" w:hAnsi="Times New Roman" w:eastAsia="仿宋_GB2312" w:cs="Times New Roman"/>
          <w:color w:val="000000"/>
          <w:kern w:val="0"/>
          <w:sz w:val="32"/>
          <w:szCs w:val="32"/>
          <w:lang w:val="en-US" w:eastAsia="zh-CN" w:bidi="ar-SA"/>
        </w:rPr>
        <w:t>投入资金对园区污水泵站与管道、进出场道路、雨水管网进行维修维护，强化园区道路卫生、绿化管理，对园区进出车辆车速过快、运输车辆跑冒滴漏、违规行驶等问题开展整治行动，确保企业排污安全及车辆出行安全，提升园区整体形象。</w:t>
      </w:r>
      <w:r>
        <w:rPr>
          <w:rFonts w:hint="eastAsia" w:ascii="Times New Roman" w:hAnsi="Times New Roman" w:eastAsia="仿宋_GB2312" w:cs="Times New Roman"/>
          <w:b/>
          <w:bCs/>
          <w:color w:val="000000"/>
          <w:kern w:val="0"/>
          <w:sz w:val="32"/>
          <w:szCs w:val="32"/>
          <w:lang w:val="en-US" w:eastAsia="zh-CN" w:bidi="ar-SA"/>
        </w:rPr>
        <w:t>二是</w:t>
      </w:r>
      <w:r>
        <w:rPr>
          <w:rFonts w:hint="eastAsia" w:ascii="Times New Roman" w:hAnsi="Times New Roman" w:eastAsia="仿宋_GB2312" w:cs="Times New Roman"/>
          <w:color w:val="000000"/>
          <w:kern w:val="0"/>
          <w:sz w:val="32"/>
          <w:szCs w:val="32"/>
          <w:lang w:val="en-US" w:eastAsia="zh-CN" w:bidi="ar-SA"/>
        </w:rPr>
        <w:t>规范炉渣处置企业的生产运营管理，积极协调炉渣处置企业与焚烧发电厂的矛盾纠纷，确保我市统筹范围内生活垃圾及时安全处置。</w:t>
      </w:r>
      <w:r>
        <w:rPr>
          <w:rFonts w:hint="eastAsia" w:ascii="Times New Roman" w:hAnsi="Times New Roman" w:eastAsia="仿宋_GB2312" w:cs="Times New Roman"/>
          <w:b/>
          <w:bCs/>
          <w:color w:val="000000"/>
          <w:kern w:val="0"/>
          <w:sz w:val="32"/>
          <w:szCs w:val="32"/>
          <w:lang w:val="en-US" w:eastAsia="zh-CN" w:bidi="ar-SA"/>
        </w:rPr>
        <w:t>三是</w:t>
      </w:r>
      <w:r>
        <w:rPr>
          <w:rFonts w:hint="eastAsia" w:ascii="Times New Roman" w:hAnsi="Times New Roman" w:eastAsia="仿宋_GB2312" w:cs="Times New Roman"/>
          <w:color w:val="000000"/>
          <w:kern w:val="0"/>
          <w:sz w:val="32"/>
          <w:szCs w:val="32"/>
          <w:lang w:val="en-US" w:eastAsia="zh-CN" w:bidi="ar-SA"/>
        </w:rPr>
        <w:t>加强园区环境监测，对当地村民反映的气味、噪音扰民、车辆过境安全等问题及时作出回应和协调，维护企业运营安全，营造良好的园地关系。</w:t>
      </w:r>
    </w:p>
    <w:p w14:paraId="385B531E">
      <w:pPr>
        <w:keepNext w:val="0"/>
        <w:keepLines w:val="0"/>
        <w:pageBreakBefore w:val="0"/>
        <w:widowControl w:val="0"/>
        <w:kinsoku/>
        <w:wordWrap/>
        <w:overflowPunct/>
        <w:topLinePunct w:val="0"/>
        <w:autoSpaceDE/>
        <w:autoSpaceDN/>
        <w:bidi w:val="0"/>
        <w:adjustRightInd/>
        <w:snapToGrid/>
        <w:spacing w:line="560" w:lineRule="exact"/>
        <w:ind w:leftChars="0" w:firstLine="667" w:firstLineChars="200"/>
        <w:jc w:val="both"/>
        <w:textAlignment w:val="auto"/>
        <w:rPr>
          <w:rFonts w:hint="eastAsia" w:ascii="Times New Roman" w:hAnsi="Times New Roman" w:eastAsia="仿宋_GB2312" w:cs="Times New Roman"/>
          <w:color w:val="000000"/>
          <w:kern w:val="0"/>
          <w:sz w:val="32"/>
          <w:szCs w:val="32"/>
          <w:lang w:val="en-US" w:eastAsia="zh-CN" w:bidi="ar-SA"/>
        </w:rPr>
      </w:pPr>
      <w:r>
        <w:rPr>
          <w:rFonts w:hint="eastAsia" w:ascii="楷体" w:hAnsi="楷体" w:eastAsia="楷体" w:cs="楷体"/>
          <w:b/>
          <w:bCs/>
          <w:color w:val="000000"/>
          <w:spacing w:val="6"/>
          <w:sz w:val="32"/>
          <w:szCs w:val="32"/>
          <w:lang w:val="en-US" w:eastAsia="zh-CN"/>
        </w:rPr>
        <w:t>6.全力推进飞灰规范填埋与资源化外运处置</w:t>
      </w:r>
      <w:r>
        <w:rPr>
          <w:rFonts w:hint="eastAsia" w:ascii="楷体" w:hAnsi="楷体" w:eastAsia="楷体" w:cs="楷体"/>
          <w:b/>
          <w:bCs/>
          <w:strike w:val="0"/>
          <w:dstrike w:val="0"/>
          <w:kern w:val="2"/>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云溪区罗家坳填埋场实施升级改造后，用于填埋垃圾焚烧产生的飞灰，我中心严格按照各级部门要求，通过对场内生态环境的各项监测与检测、持续进行生态环境问题整改等措施，规范填埋场管理，确保飞灰安全有序填埋。截至目前，累计</w:t>
      </w:r>
      <w:r>
        <w:rPr>
          <w:rFonts w:hint="default" w:ascii="Times New Roman" w:hAnsi="Times New Roman" w:eastAsia="仿宋_GB2312" w:cs="Times New Roman"/>
          <w:color w:val="000000"/>
          <w:kern w:val="0"/>
          <w:sz w:val="32"/>
          <w:szCs w:val="32"/>
          <w:lang w:val="en-US" w:eastAsia="zh-CN" w:bidi="ar-SA"/>
        </w:rPr>
        <w:t>填埋飞灰</w:t>
      </w:r>
      <w:r>
        <w:rPr>
          <w:rFonts w:hint="eastAsia" w:ascii="Times New Roman" w:hAnsi="Times New Roman" w:eastAsia="仿宋_GB2312" w:cs="Times New Roman"/>
          <w:color w:val="000000"/>
          <w:kern w:val="0"/>
          <w:sz w:val="32"/>
          <w:szCs w:val="32"/>
          <w:lang w:val="en-US" w:eastAsia="zh-CN" w:bidi="ar-SA"/>
        </w:rPr>
        <w:t>超8</w:t>
      </w:r>
      <w:r>
        <w:rPr>
          <w:rFonts w:hint="default" w:ascii="Times New Roman" w:hAnsi="Times New Roman" w:eastAsia="仿宋_GB2312" w:cs="Times New Roman"/>
          <w:color w:val="000000"/>
          <w:kern w:val="0"/>
          <w:sz w:val="32"/>
          <w:szCs w:val="32"/>
          <w:lang w:val="en-US" w:eastAsia="zh-CN" w:bidi="ar-SA"/>
        </w:rPr>
        <w:t>万吨，剩余库容约</w:t>
      </w:r>
      <w:r>
        <w:rPr>
          <w:rFonts w:hint="eastAsia" w:ascii="Times New Roman" w:hAnsi="Times New Roman" w:eastAsia="仿宋_GB2312" w:cs="Times New Roman"/>
          <w:color w:val="000000"/>
          <w:kern w:val="0"/>
          <w:sz w:val="32"/>
          <w:szCs w:val="32"/>
          <w:lang w:val="en-US" w:eastAsia="zh-CN" w:bidi="ar-SA"/>
        </w:rPr>
        <w:t>36</w:t>
      </w:r>
      <w:r>
        <w:rPr>
          <w:rFonts w:hint="default" w:ascii="Times New Roman" w:hAnsi="Times New Roman" w:eastAsia="仿宋_GB2312" w:cs="Times New Roman"/>
          <w:color w:val="000000"/>
          <w:kern w:val="0"/>
          <w:sz w:val="32"/>
          <w:szCs w:val="32"/>
          <w:lang w:val="en-US" w:eastAsia="zh-CN" w:bidi="ar-SA"/>
        </w:rPr>
        <w:t>万m³</w:t>
      </w:r>
      <w:r>
        <w:rPr>
          <w:rFonts w:hint="eastAsia" w:ascii="Times New Roman" w:hAnsi="Times New Roman" w:eastAsia="仿宋_GB2312" w:cs="Times New Roman"/>
          <w:color w:val="000000"/>
          <w:kern w:val="0"/>
          <w:sz w:val="32"/>
          <w:szCs w:val="32"/>
          <w:lang w:val="en-US" w:eastAsia="zh-CN" w:bidi="ar-SA"/>
        </w:rPr>
        <w:t>。同时，深入贯彻中央污染防治攻坚战成效考核要求，根据省、市生环委文件精神，确保在全省污染防治攻坚战成效考核中不扣分，对于分配的资源化利用目标任务量的飞灰，于12月开始进行全量化外运处置。</w:t>
      </w:r>
    </w:p>
    <w:p w14:paraId="4847A44C">
      <w:pPr>
        <w:pStyle w:val="13"/>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（五）资金管理情况。</w:t>
      </w:r>
      <w:r>
        <w:rPr>
          <w:rFonts w:hint="eastAsia" w:ascii="方正仿宋_GB2312" w:hAnsi="方正仿宋_GB2312" w:eastAsia="方正仿宋_GB2312" w:cs="方正仿宋_GB2312"/>
          <w:color w:val="auto"/>
          <w:kern w:val="0"/>
          <w:sz w:val="32"/>
          <w:szCs w:val="32"/>
          <w:lang w:val="en-US" w:eastAsia="zh-CN" w:bidi="ar-SA"/>
        </w:rPr>
        <w:t>我单位</w:t>
      </w:r>
      <w:r>
        <w:rPr>
          <w:rFonts w:hint="eastAsia" w:ascii="仿宋_GB2312" w:hAnsi="仿宋_GB2312" w:eastAsia="仿宋_GB2312" w:cs="仿宋_GB2312"/>
          <w:bCs/>
          <w:sz w:val="32"/>
          <w:szCs w:val="32"/>
          <w:lang w:val="en-US" w:eastAsia="zh-CN"/>
        </w:rPr>
        <w:t>专项</w:t>
      </w:r>
      <w:r>
        <w:rPr>
          <w:rFonts w:hint="eastAsia" w:ascii="仿宋_GB2312" w:hAnsi="仿宋_GB2312" w:eastAsia="仿宋_GB2312" w:cs="仿宋_GB2312"/>
          <w:bCs/>
          <w:sz w:val="32"/>
          <w:szCs w:val="32"/>
        </w:rPr>
        <w:t>资金</w:t>
      </w:r>
      <w:r>
        <w:rPr>
          <w:rFonts w:hint="eastAsia" w:ascii="仿宋_GB2312" w:hAnsi="仿宋_GB2312" w:eastAsia="仿宋_GB2312" w:cs="仿宋_GB2312"/>
          <w:bCs/>
          <w:sz w:val="32"/>
          <w:szCs w:val="32"/>
          <w:lang w:val="en-US" w:eastAsia="zh-CN"/>
        </w:rPr>
        <w:t>管理按资金</w:t>
      </w:r>
      <w:r>
        <w:rPr>
          <w:rFonts w:hint="eastAsia" w:ascii="仿宋_GB2312" w:hAnsi="仿宋_GB2312" w:eastAsia="仿宋_GB2312" w:cs="仿宋_GB2312"/>
          <w:bCs/>
          <w:sz w:val="32"/>
          <w:szCs w:val="32"/>
        </w:rPr>
        <w:t>用途专款专用，</w:t>
      </w:r>
      <w:r>
        <w:rPr>
          <w:rFonts w:hint="eastAsia" w:ascii="仿宋_GB2312" w:hAnsi="仿宋_GB2312" w:eastAsia="仿宋_GB2312" w:cs="仿宋_GB2312"/>
          <w:bCs/>
          <w:sz w:val="32"/>
          <w:szCs w:val="32"/>
          <w:lang w:val="en-US" w:eastAsia="zh-CN"/>
        </w:rPr>
        <w:t>各专项间独立核算，严禁混用。</w:t>
      </w:r>
      <w:r>
        <w:rPr>
          <w:rFonts w:hint="eastAsia" w:ascii="仿宋_GB2312" w:hAnsi="仿宋_GB2312" w:eastAsia="仿宋_GB2312" w:cs="仿宋_GB2312"/>
          <w:bCs/>
          <w:sz w:val="32"/>
          <w:szCs w:val="32"/>
        </w:rPr>
        <w:t>严格按照</w:t>
      </w:r>
      <w:r>
        <w:rPr>
          <w:rFonts w:hint="eastAsia" w:ascii="仿宋_GB2312" w:hAnsi="仿宋_GB2312" w:eastAsia="仿宋_GB2312" w:cs="仿宋_GB2312"/>
          <w:bCs/>
          <w:sz w:val="32"/>
          <w:szCs w:val="32"/>
          <w:lang w:val="en-US" w:eastAsia="zh-CN"/>
        </w:rPr>
        <w:t>专项</w:t>
      </w:r>
      <w:r>
        <w:rPr>
          <w:rFonts w:hint="eastAsia" w:ascii="仿宋_GB2312" w:hAnsi="仿宋_GB2312" w:eastAsia="仿宋_GB2312" w:cs="仿宋_GB2312"/>
          <w:bCs/>
          <w:sz w:val="32"/>
          <w:szCs w:val="32"/>
        </w:rPr>
        <w:t>资金批准计划使用，不擅自调项、扩项、缩项，无拆借、挪用和挤占，对每笔专项资金的支付严格执行财务制度，落实专项资金审核程序。</w:t>
      </w:r>
      <w:r>
        <w:rPr>
          <w:rFonts w:hint="eastAsia" w:ascii="仿宋_GB2312" w:hAnsi="仿宋_GB2312" w:eastAsia="仿宋_GB2312" w:cs="仿宋_GB2312"/>
          <w:bCs/>
          <w:sz w:val="32"/>
          <w:szCs w:val="32"/>
          <w:lang w:val="en-US" w:eastAsia="zh-CN"/>
        </w:rPr>
        <w:t>专项资金经依法批准的预算执行，按照专款专用的原则，进行日常财务管理和会计核算，配合市财政、监察和审计等部门对项目专项资金的使用和管理情况进行监督检查，并开展绩效评价工作。</w:t>
      </w:r>
    </w:p>
    <w:p w14:paraId="6CB8D920">
      <w:pPr>
        <w:pStyle w:val="13"/>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Cs/>
          <w:sz w:val="32"/>
          <w:szCs w:val="32"/>
          <w:lang w:val="en-US" w:eastAsia="zh-CN"/>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（六）运行成本和管理效率。</w:t>
      </w:r>
      <w:r>
        <w:rPr>
          <w:rFonts w:hint="eastAsia" w:ascii="仿宋_GB2312" w:hAnsi="仿宋_GB2312" w:eastAsia="仿宋_GB2312" w:cs="仿宋_GB2312"/>
          <w:bCs/>
          <w:sz w:val="32"/>
          <w:szCs w:val="32"/>
          <w:lang w:val="en-US" w:eastAsia="zh-CN"/>
        </w:rPr>
        <w:t>2025年我单位全年预算金额为654.29万元。预算支出总额为637.11万元，其中一般公共预算支出总额为637.11万元（基本支出266.88万元，项目支出370.23万元）。预算成本控制较好，整体支出绩效良好，达到既定目标要求。</w:t>
      </w:r>
    </w:p>
    <w:p w14:paraId="2285D468">
      <w:pPr>
        <w:keepNext w:val="0"/>
        <w:keepLines w:val="0"/>
        <w:pageBreakBefore w:val="0"/>
        <w:kinsoku/>
        <w:wordWrap/>
        <w:overflowPunct/>
        <w:topLinePunct w:val="0"/>
        <w:autoSpaceDE/>
        <w:autoSpaceDN/>
        <w:bidi w:val="0"/>
        <w:adjustRightInd/>
        <w:snapToGrid/>
        <w:spacing w:line="580" w:lineRule="exact"/>
        <w:ind w:leftChars="0" w:firstLine="664" w:firstLineChars="200"/>
        <w:jc w:val="both"/>
        <w:textAlignment w:val="auto"/>
        <w:rPr>
          <w:rFonts w:hint="default" w:ascii="黑体" w:hAnsi="黑体" w:eastAsia="黑体" w:cs="黑体"/>
          <w:b w:val="0"/>
          <w:bCs w:val="0"/>
          <w:color w:val="000000"/>
          <w:spacing w:val="6"/>
          <w:kern w:val="2"/>
          <w:sz w:val="32"/>
          <w:szCs w:val="32"/>
          <w:lang w:val="en-US" w:eastAsia="zh-CN"/>
        </w:rPr>
      </w:pPr>
      <w:r>
        <w:rPr>
          <w:rFonts w:hint="eastAsia" w:ascii="黑体" w:hAnsi="黑体" w:eastAsia="黑体" w:cs="黑体"/>
          <w:b w:val="0"/>
          <w:bCs w:val="0"/>
          <w:color w:val="000000"/>
          <w:spacing w:val="6"/>
          <w:kern w:val="2"/>
          <w:sz w:val="32"/>
          <w:szCs w:val="32"/>
          <w:lang w:val="en-US" w:eastAsia="zh-CN"/>
        </w:rPr>
        <w:t>五</w:t>
      </w:r>
      <w:r>
        <w:rPr>
          <w:rFonts w:hint="default" w:ascii="黑体" w:hAnsi="黑体" w:eastAsia="黑体" w:cs="黑体"/>
          <w:b w:val="0"/>
          <w:bCs w:val="0"/>
          <w:color w:val="000000"/>
          <w:spacing w:val="6"/>
          <w:kern w:val="2"/>
          <w:sz w:val="32"/>
          <w:szCs w:val="32"/>
          <w:lang w:val="en-US" w:eastAsia="zh-CN"/>
        </w:rPr>
        <w:t>、存在的问题及原因分析</w:t>
      </w:r>
    </w:p>
    <w:p w14:paraId="2B10EBDA">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Cs/>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1.协作机制有待进一步健全。</w:t>
      </w:r>
      <w:r>
        <w:rPr>
          <w:rFonts w:hint="eastAsia" w:ascii="仿宋_GB2312" w:hAnsi="仿宋_GB2312" w:eastAsia="仿宋_GB2312" w:cs="仿宋_GB2312"/>
          <w:bCs/>
          <w:kern w:val="0"/>
          <w:sz w:val="32"/>
          <w:szCs w:val="32"/>
          <w:lang w:val="en-US" w:eastAsia="zh-CN" w:bidi="ar-SA"/>
        </w:rPr>
        <w:t>目前，部分企业在参与公共事务方面主动性不足，多聚焦于自身生产“红线”范围内的事务。由于缺乏制度化的联动机制，信息与资源优势未能充分整合，对整体管理效能的提升产生了一定影响。</w:t>
      </w:r>
    </w:p>
    <w:p w14:paraId="0C1FC117">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Cs/>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2.运营管理仍需持续优化。</w:t>
      </w:r>
      <w:r>
        <w:rPr>
          <w:rFonts w:hint="eastAsia" w:ascii="仿宋_GB2312" w:hAnsi="仿宋_GB2312" w:eastAsia="仿宋_GB2312" w:cs="仿宋_GB2312"/>
          <w:bCs/>
          <w:kern w:val="0"/>
          <w:sz w:val="32"/>
          <w:szCs w:val="32"/>
          <w:lang w:val="en-US" w:eastAsia="zh-CN" w:bidi="ar-SA"/>
        </w:rPr>
        <w:t>社会各界对公共环境的期望不断提高，而企业在经济性运营上面临现实压力。特别是在日常运营及异味治理等环节，仍需各方共同努力，平衡好环境效益与经济诉求，持续提升精细化管理水平。</w:t>
      </w:r>
    </w:p>
    <w:p w14:paraId="46C0E965">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Cs/>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3.资源循环利用水平有提升空间。</w:t>
      </w:r>
      <w:r>
        <w:rPr>
          <w:rFonts w:hint="eastAsia" w:ascii="仿宋_GB2312" w:hAnsi="仿宋_GB2312" w:eastAsia="仿宋_GB2312" w:cs="仿宋_GB2312"/>
          <w:bCs/>
          <w:kern w:val="0"/>
          <w:sz w:val="32"/>
          <w:szCs w:val="32"/>
          <w:lang w:val="en-US" w:eastAsia="zh-CN" w:bidi="ar-SA"/>
        </w:rPr>
        <w:t>受当前政策、市场、技术及地域条件等多重因素影响，炉渣、飞灰、供热供汽等副产物的综合利用价值尚未充分发挥，园区内部的物质循环与能源梯级利用规模有待进一步拓展和深化。</w:t>
      </w:r>
    </w:p>
    <w:p w14:paraId="384FBC1E">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Cs/>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4.干部队伍与绩效管理能力需进一步加强。</w:t>
      </w:r>
      <w:r>
        <w:rPr>
          <w:rFonts w:hint="eastAsia" w:ascii="仿宋_GB2312" w:hAnsi="仿宋_GB2312" w:eastAsia="仿宋_GB2312" w:cs="仿宋_GB2312"/>
          <w:bCs/>
          <w:kern w:val="0"/>
          <w:sz w:val="32"/>
          <w:szCs w:val="32"/>
          <w:lang w:val="en-US" w:eastAsia="zh-CN" w:bidi="ar-SA"/>
        </w:rPr>
        <w:t>目前，干部队伍专业力量相对薄弱，部分岗位存在一人多岗现象，导致知识技能结构较为分散，系统性专业能力尚显不足。同时，预算绩效目标编制规范性有待提高，指标之间的关联性与可衡量性需进一步增强。主要原因在于，绩效管理工作目前由财务部门兼任，相关人员多为会计、财务管理专业背景。而有效的绩效管理除了财经知识外，还需要熟悉政策与具体项目业务，并具备管理学、法学、统计学、工程学等多学科知识，现有知识结构难以完全满足工作要求。</w:t>
      </w:r>
    </w:p>
    <w:p w14:paraId="51DA44F2">
      <w:pPr>
        <w:keepNext w:val="0"/>
        <w:keepLines w:val="0"/>
        <w:pageBreakBefore w:val="0"/>
        <w:kinsoku/>
        <w:wordWrap/>
        <w:overflowPunct/>
        <w:topLinePunct w:val="0"/>
        <w:autoSpaceDE/>
        <w:autoSpaceDN/>
        <w:bidi w:val="0"/>
        <w:adjustRightInd/>
        <w:snapToGrid/>
        <w:spacing w:line="580" w:lineRule="exact"/>
        <w:ind w:leftChars="0" w:firstLine="664" w:firstLineChars="200"/>
        <w:jc w:val="both"/>
        <w:textAlignment w:val="auto"/>
        <w:rPr>
          <w:rFonts w:hint="default" w:ascii="黑体" w:hAnsi="黑体" w:eastAsia="黑体" w:cs="黑体"/>
          <w:b w:val="0"/>
          <w:bCs w:val="0"/>
          <w:color w:val="000000"/>
          <w:spacing w:val="6"/>
          <w:kern w:val="2"/>
          <w:sz w:val="32"/>
          <w:szCs w:val="32"/>
          <w:lang w:val="en-US" w:eastAsia="zh-CN"/>
        </w:rPr>
      </w:pPr>
      <w:r>
        <w:rPr>
          <w:rFonts w:hint="eastAsia" w:ascii="黑体" w:hAnsi="黑体" w:eastAsia="黑体" w:cs="黑体"/>
          <w:b w:val="0"/>
          <w:bCs w:val="0"/>
          <w:color w:val="000000"/>
          <w:spacing w:val="6"/>
          <w:kern w:val="2"/>
          <w:sz w:val="32"/>
          <w:szCs w:val="32"/>
          <w:lang w:val="en-US" w:eastAsia="zh-CN"/>
        </w:rPr>
        <w:t>六</w:t>
      </w:r>
      <w:r>
        <w:rPr>
          <w:rFonts w:hint="default" w:ascii="黑体" w:hAnsi="黑体" w:eastAsia="黑体" w:cs="黑体"/>
          <w:b w:val="0"/>
          <w:bCs w:val="0"/>
          <w:color w:val="000000"/>
          <w:spacing w:val="6"/>
          <w:kern w:val="2"/>
          <w:sz w:val="32"/>
          <w:szCs w:val="32"/>
          <w:lang w:val="en-US" w:eastAsia="zh-CN"/>
        </w:rPr>
        <w:t>、下一步改进措施</w:t>
      </w:r>
    </w:p>
    <w:p w14:paraId="529812A0">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Cs/>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1.强化联动，完善企业考评与激励机制。</w:t>
      </w:r>
      <w:r>
        <w:rPr>
          <w:rFonts w:hint="eastAsia" w:ascii="仿宋_GB2312" w:hAnsi="仿宋_GB2312" w:eastAsia="仿宋_GB2312" w:cs="仿宋_GB2312"/>
          <w:bCs/>
          <w:kern w:val="0"/>
          <w:sz w:val="32"/>
          <w:szCs w:val="32"/>
          <w:lang w:val="en-US" w:eastAsia="zh-CN" w:bidi="ar-SA"/>
        </w:rPr>
        <w:t>进一步完善园区管理规章制度，利用工作群、责任清单等工具，建立高效、顺畅的联动机制。细化并量化企业考核标准，强化日常管理，探索并推行“按效付费”机制，以此激发企业内生动力，引导园区项目向更加健康、良性的方向发展。</w:t>
      </w:r>
    </w:p>
    <w:p w14:paraId="68A4F32F">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Cs/>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2.精准服务，优化运营环境与政企协同。</w:t>
      </w:r>
      <w:r>
        <w:rPr>
          <w:rFonts w:hint="eastAsia" w:ascii="仿宋_GB2312" w:hAnsi="仿宋_GB2312" w:eastAsia="仿宋_GB2312" w:cs="仿宋_GB2312"/>
          <w:bCs/>
          <w:kern w:val="0"/>
          <w:sz w:val="32"/>
          <w:szCs w:val="32"/>
          <w:lang w:val="en-US" w:eastAsia="zh-CN" w:bidi="ar-SA"/>
        </w:rPr>
        <w:t>积极配合市区环保、住建、消防等部门，引导企业建立健全全流程精细化管控体系，重点协助企业解决无组织排放与异味治理难题。督促企业将应急设施配备到位，并严格落实定期演练要求。定期组织开展环境数据公开、公众开放日等活动，增进社会理解。主动对接云溪区、镇两级政府，共同做好属地综治维稳工作，积极化解“邻避”困境，缓解园地矛盾，切实降低企业运营的外部风险。同时，指导企业规范数据计量与报送流程，提升信息报送的时效性与准确性。积极对接市财政局，推动项目补贴及时拨付，扎实做好各项企业服务工作，努力营造优良的营商环境。</w:t>
      </w:r>
    </w:p>
    <w:p w14:paraId="3FCEECDF">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Cs/>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3.内优外拓，提升资源能源循环利用效率。</w:t>
      </w:r>
      <w:r>
        <w:rPr>
          <w:rFonts w:hint="eastAsia" w:ascii="仿宋_GB2312" w:hAnsi="仿宋_GB2312" w:eastAsia="仿宋_GB2312" w:cs="仿宋_GB2312"/>
          <w:bCs/>
          <w:kern w:val="0"/>
          <w:sz w:val="32"/>
          <w:szCs w:val="32"/>
          <w:lang w:val="en-US" w:eastAsia="zh-CN" w:bidi="ar-SA"/>
        </w:rPr>
        <w:t>对内，持续优化园区设施规划，积极配合市城管局做好建筑垃圾分拣与飞灰资源化利用项目的相关推进工作，提升园区内部协同效率。对外，充分发挥循环经济模式的效用，积极拓展炉渣综合利用、供汽供热等副产品的多元化市场应用渠道。通过提升整体资源与能源利用效率，为园区的可持续发展夯实基础。</w:t>
      </w:r>
    </w:p>
    <w:p w14:paraId="2D8866AA">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4.引培并举，加强队伍与预算绩效管理能力建设。</w:t>
      </w:r>
      <w:r>
        <w:rPr>
          <w:rFonts w:hint="eastAsia" w:ascii="仿宋_GB2312" w:hAnsi="仿宋_GB2312" w:eastAsia="仿宋_GB2312" w:cs="仿宋_GB2312"/>
          <w:bCs/>
          <w:kern w:val="0"/>
          <w:sz w:val="32"/>
          <w:szCs w:val="32"/>
          <w:lang w:val="en-US" w:eastAsia="zh-CN" w:bidi="ar-SA"/>
        </w:rPr>
        <w:t>一方面，多渠道引进专业人才，优化岗位人员配置，加大职工专业技术培训力度，有效提升团队专业技能水平。另一方面，重点加强预算绩效管理业务培训，强化全员的预算与绩效意识。鼓励相关人员深入一线调研，在实践中优化细化绩效目标编制，深化财务与业务的融合，增强预算的约束力，从而稳步提升单位的预算支出绩效。</w:t>
      </w:r>
    </w:p>
    <w:p w14:paraId="683D02FA">
      <w:pPr>
        <w:keepNext w:val="0"/>
        <w:keepLines w:val="0"/>
        <w:pageBreakBefore w:val="0"/>
        <w:kinsoku/>
        <w:wordWrap/>
        <w:overflowPunct/>
        <w:topLinePunct w:val="0"/>
        <w:autoSpaceDE/>
        <w:autoSpaceDN/>
        <w:bidi w:val="0"/>
        <w:adjustRightInd/>
        <w:snapToGrid/>
        <w:spacing w:line="580" w:lineRule="exact"/>
        <w:ind w:leftChars="0" w:firstLine="664" w:firstLineChars="200"/>
        <w:jc w:val="both"/>
        <w:textAlignment w:val="auto"/>
        <w:rPr>
          <w:rFonts w:hint="default" w:ascii="黑体" w:hAnsi="黑体" w:eastAsia="黑体" w:cs="黑体"/>
          <w:b w:val="0"/>
          <w:bCs w:val="0"/>
          <w:color w:val="000000"/>
          <w:spacing w:val="6"/>
          <w:kern w:val="2"/>
          <w:sz w:val="32"/>
          <w:szCs w:val="32"/>
          <w:lang w:val="en-US" w:eastAsia="zh-CN"/>
        </w:rPr>
      </w:pPr>
      <w:r>
        <w:rPr>
          <w:rFonts w:hint="eastAsia" w:ascii="黑体" w:hAnsi="黑体" w:eastAsia="黑体" w:cs="黑体"/>
          <w:b w:val="0"/>
          <w:bCs w:val="0"/>
          <w:color w:val="000000"/>
          <w:spacing w:val="6"/>
          <w:kern w:val="2"/>
          <w:sz w:val="32"/>
          <w:szCs w:val="32"/>
          <w:lang w:val="en-US" w:eastAsia="zh-CN"/>
        </w:rPr>
        <w:t>七</w:t>
      </w:r>
      <w:r>
        <w:rPr>
          <w:rFonts w:hint="default" w:ascii="黑体" w:hAnsi="黑体" w:eastAsia="黑体" w:cs="黑体"/>
          <w:b w:val="0"/>
          <w:bCs w:val="0"/>
          <w:color w:val="000000"/>
          <w:spacing w:val="6"/>
          <w:kern w:val="2"/>
          <w:sz w:val="32"/>
          <w:szCs w:val="32"/>
          <w:lang w:val="en-US" w:eastAsia="zh-CN"/>
        </w:rPr>
        <w:t>、部门整体支出绩效自评结果拟应用和公开情况</w:t>
      </w:r>
      <w:r>
        <w:rPr>
          <w:rFonts w:hint="eastAsia" w:ascii="黑体" w:hAnsi="黑体" w:eastAsia="黑体" w:cs="黑体"/>
          <w:b w:val="0"/>
          <w:bCs w:val="0"/>
          <w:color w:val="000000"/>
          <w:spacing w:val="6"/>
          <w:kern w:val="2"/>
          <w:sz w:val="32"/>
          <w:szCs w:val="32"/>
          <w:lang w:val="en-US" w:eastAsia="zh-CN"/>
        </w:rPr>
        <w:t>及</w:t>
      </w:r>
      <w:r>
        <w:rPr>
          <w:rFonts w:hint="default" w:ascii="黑体" w:hAnsi="黑体" w:eastAsia="黑体" w:cs="黑体"/>
          <w:b w:val="0"/>
          <w:bCs w:val="0"/>
          <w:color w:val="000000"/>
          <w:spacing w:val="6"/>
          <w:kern w:val="2"/>
          <w:sz w:val="32"/>
          <w:szCs w:val="32"/>
          <w:lang w:val="en-US" w:eastAsia="zh-CN"/>
        </w:rPr>
        <w:t>其他需要说明的情况</w:t>
      </w:r>
    </w:p>
    <w:p w14:paraId="2E6C5C29">
      <w:pPr>
        <w:pStyle w:val="8"/>
        <w:keepNext w:val="0"/>
        <w:keepLines w:val="0"/>
        <w:pageBreakBefore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b w:val="0"/>
          <w:bCs w:val="0"/>
          <w:sz w:val="32"/>
          <w:szCs w:val="32"/>
          <w:lang w:val="en-US" w:eastAsia="zh-CN"/>
        </w:rPr>
        <w:t>我单位</w:t>
      </w:r>
      <w:r>
        <w:rPr>
          <w:rFonts w:hint="eastAsia" w:ascii="仿宋_GB2312" w:hAnsi="仿宋_GB2312" w:eastAsia="仿宋_GB2312" w:cs="仿宋_GB2312"/>
          <w:b w:val="0"/>
          <w:bCs w:val="0"/>
          <w:sz w:val="32"/>
          <w:szCs w:val="32"/>
        </w:rPr>
        <w:t>整体支出绩效自评结果</w:t>
      </w:r>
      <w:r>
        <w:rPr>
          <w:rFonts w:hint="eastAsia" w:ascii="仿宋_GB2312" w:hAnsi="仿宋_GB2312" w:eastAsia="仿宋_GB2312" w:cs="仿宋_GB2312"/>
          <w:b w:val="0"/>
          <w:bCs w:val="0"/>
          <w:sz w:val="32"/>
          <w:szCs w:val="32"/>
          <w:lang w:val="en-US" w:eastAsia="zh-CN"/>
        </w:rPr>
        <w:t>将作为完善本单位相关制度，改进资金管理的重要依据，同时，也将作为单位内部工作总结的参考依据。单位的预算绩效目标、预算、决算及绩效评价等信息均按相关规定及时在市城管局门户网站进行了公开，</w:t>
      </w:r>
      <w:r>
        <w:rPr>
          <w:rFonts w:hint="eastAsia" w:ascii="仿宋_GB2312" w:hAnsi="仿宋_GB2312" w:eastAsia="仿宋_GB2312" w:cs="仿宋_GB2312"/>
          <w:kern w:val="0"/>
          <w:sz w:val="32"/>
          <w:szCs w:val="32"/>
        </w:rPr>
        <w:t>公开信息基础数据和会计信息资料准确、真实、完整。</w:t>
      </w:r>
    </w:p>
    <w:p w14:paraId="0632EB2D">
      <w:pPr>
        <w:rPr>
          <w:rFonts w:hint="eastAsia" w:ascii="仿宋_GB2312" w:hAnsi="仿宋_GB2312" w:eastAsia="仿宋_GB2312" w:cs="仿宋_GB2312"/>
          <w:kern w:val="0"/>
          <w:sz w:val="32"/>
          <w:szCs w:val="32"/>
        </w:rPr>
      </w:pPr>
    </w:p>
    <w:p w14:paraId="17AD0978">
      <w:pPr>
        <w:pStyle w:val="2"/>
        <w:rPr>
          <w:rFonts w:hint="eastAsia"/>
        </w:rPr>
      </w:pPr>
    </w:p>
    <w:p w14:paraId="2EEB19D8">
      <w:pPr>
        <w:keepNext w:val="0"/>
        <w:keepLines w:val="0"/>
        <w:pageBreakBefore w:val="0"/>
        <w:widowControl w:val="0"/>
        <w:kinsoku/>
        <w:wordWrap/>
        <w:overflowPunct/>
        <w:topLinePunct w:val="0"/>
        <w:autoSpaceDE/>
        <w:autoSpaceDN/>
        <w:bidi w:val="0"/>
        <w:adjustRightInd/>
        <w:snapToGrid/>
        <w:spacing w:afterLines="0" w:line="360" w:lineRule="auto"/>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 xml:space="preserve">年度部门整体支出绩效评价基础数据表 </w:t>
      </w:r>
    </w:p>
    <w:p w14:paraId="78C38A8F">
      <w:pPr>
        <w:keepNext w:val="0"/>
        <w:keepLines w:val="0"/>
        <w:pageBreakBefore w:val="0"/>
        <w:widowControl w:val="0"/>
        <w:kinsoku/>
        <w:wordWrap/>
        <w:overflowPunct/>
        <w:topLinePunct w:val="0"/>
        <w:autoSpaceDE/>
        <w:autoSpaceDN/>
        <w:bidi w:val="0"/>
        <w:adjustRightInd/>
        <w:snapToGrid/>
        <w:spacing w:afterLines="0" w:line="360" w:lineRule="auto"/>
        <w:ind w:left="0" w:leftChars="0" w:firstLine="1600" w:firstLineChars="5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年度部门整体支出绩效自评表</w:t>
      </w:r>
    </w:p>
    <w:p w14:paraId="412A9437">
      <w:pPr>
        <w:keepNext w:val="0"/>
        <w:keepLines w:val="0"/>
        <w:pageBreakBefore w:val="0"/>
        <w:widowControl w:val="0"/>
        <w:kinsoku/>
        <w:wordWrap/>
        <w:overflowPunct/>
        <w:topLinePunct w:val="0"/>
        <w:autoSpaceDE/>
        <w:autoSpaceDN/>
        <w:bidi w:val="0"/>
        <w:adjustRightInd/>
        <w:snapToGrid/>
        <w:spacing w:afterLines="0" w:line="360" w:lineRule="auto"/>
        <w:ind w:right="0" w:rightChars="0"/>
        <w:jc w:val="both"/>
        <w:textAlignment w:val="auto"/>
        <w:rPr>
          <w:rFonts w:hint="eastAsia" w:ascii="仿宋_GB2312" w:hAnsi="仿宋_GB2312" w:eastAsia="仿宋_GB2312" w:cs="仿宋_GB2312"/>
          <w:sz w:val="32"/>
          <w:szCs w:val="32"/>
          <w:highlight w:val="none"/>
          <w:lang w:eastAsia="zh-CN"/>
        </w:rPr>
      </w:pPr>
    </w:p>
    <w:p w14:paraId="6254FAB1">
      <w:pPr>
        <w:pStyle w:val="2"/>
        <w:rPr>
          <w:rFonts w:hint="eastAsia"/>
          <w:lang w:eastAsia="zh-CN"/>
        </w:rPr>
      </w:pPr>
    </w:p>
    <w:p w14:paraId="6CB93D73">
      <w:pPr>
        <w:pStyle w:val="7"/>
        <w:keepNext w:val="0"/>
        <w:keepLines w:val="0"/>
        <w:pageBreakBefore w:val="0"/>
        <w:wordWrap w:val="0"/>
        <w:overflowPunct/>
        <w:topLinePunct w:val="0"/>
        <w:bidi w:val="0"/>
        <w:spacing w:line="600" w:lineRule="exact"/>
        <w:ind w:firstLine="3200" w:firstLineChars="100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 w:eastAsia="zh-CN"/>
        </w:rPr>
        <w:t>岳阳市</w:t>
      </w:r>
      <w:r>
        <w:rPr>
          <w:rFonts w:hint="eastAsia" w:ascii="仿宋_GB2312" w:hAnsi="仿宋_GB2312" w:eastAsia="仿宋_GB2312" w:cs="仿宋_GB2312"/>
          <w:sz w:val="32"/>
          <w:szCs w:val="32"/>
          <w:lang w:val="en-US" w:eastAsia="zh-CN"/>
        </w:rPr>
        <w:t>固体废物处置服务</w:t>
      </w:r>
      <w:r>
        <w:rPr>
          <w:rFonts w:hint="eastAsia" w:ascii="仿宋_GB2312" w:hAnsi="仿宋_GB2312" w:eastAsia="仿宋_GB2312" w:cs="仿宋_GB2312"/>
          <w:sz w:val="32"/>
          <w:szCs w:val="32"/>
          <w:lang w:val="en" w:eastAsia="zh-CN"/>
        </w:rPr>
        <w:t>中心</w:t>
      </w:r>
      <w:r>
        <w:rPr>
          <w:rFonts w:hint="eastAsia" w:ascii="仿宋_GB2312" w:hAnsi="仿宋_GB2312" w:eastAsia="仿宋_GB2312" w:cs="仿宋_GB2312"/>
          <w:sz w:val="32"/>
          <w:szCs w:val="32"/>
          <w:lang w:val="en-US" w:eastAsia="zh-CN"/>
        </w:rPr>
        <w:t xml:space="preserve">    </w:t>
      </w:r>
    </w:p>
    <w:p w14:paraId="47C02658">
      <w:pPr>
        <w:keepNext w:val="0"/>
        <w:keepLines w:val="0"/>
        <w:pageBreakBefore w:val="0"/>
        <w:wordWrap w:val="0"/>
        <w:overflowPunct/>
        <w:topLinePunct w:val="0"/>
        <w:bidi w:val="0"/>
        <w:spacing w:after="120" w:afterLines="50" w:line="600" w:lineRule="exact"/>
        <w:jc w:val="center"/>
        <w:rPr>
          <w:rFonts w:hint="default"/>
          <w:sz w:val="32"/>
          <w:szCs w:val="32"/>
          <w:lang w:val="en-US"/>
        </w:rPr>
      </w:pPr>
      <w:r>
        <w:rPr>
          <w:rFonts w:hint="eastAsia" w:ascii="仿宋_GB2312" w:hAnsi="仿宋_GB2312" w:eastAsia="仿宋_GB2312" w:cs="仿宋_GB2312"/>
          <w:sz w:val="32"/>
          <w:szCs w:val="32"/>
          <w:highlight w:val="none"/>
          <w:lang w:val="en-US" w:eastAsia="zh-CN"/>
        </w:rPr>
        <w:t xml:space="preserve">                            2026年6月15日       </w:t>
      </w:r>
    </w:p>
    <w:p w14:paraId="4EE8BCD3"/>
    <w:p w14:paraId="69BAA13A"/>
    <w:p w14:paraId="6667EF9C">
      <w:pPr>
        <w:pStyle w:val="4"/>
      </w:pPr>
    </w:p>
    <w:p w14:paraId="5D6EA3A2"/>
    <w:p w14:paraId="43E3D997">
      <w:pPr>
        <w:pStyle w:val="4"/>
        <w:sectPr>
          <w:pgSz w:w="11906" w:h="16838"/>
          <w:pgMar w:top="2098" w:right="1474" w:bottom="1984" w:left="1587" w:header="851" w:footer="992" w:gutter="0"/>
          <w:cols w:space="425" w:num="1"/>
          <w:docGrid w:type="lines" w:linePitch="312" w:charSpace="0"/>
        </w:sectPr>
      </w:pPr>
    </w:p>
    <w:p w14:paraId="436C03CD">
      <w:pPr>
        <w:keepNext w:val="0"/>
        <w:keepLines w:val="0"/>
        <w:pageBreakBefore w:val="0"/>
        <w:widowControl w:val="0"/>
        <w:kinsoku/>
        <w:wordWrap/>
        <w:overflowPunct/>
        <w:topLinePunct w:val="0"/>
        <w:autoSpaceDE/>
        <w:autoSpaceDN/>
        <w:bidi w:val="0"/>
        <w:adjustRightInd/>
        <w:snapToGrid/>
        <w:spacing w:afterLines="0" w:line="360" w:lineRule="auto"/>
        <w:jc w:val="both"/>
        <w:textAlignment w:val="auto"/>
        <w:rPr>
          <w:rFonts w:hint="eastAsia"/>
          <w:lang w:eastAsia="zh-CN"/>
        </w:rPr>
      </w:pPr>
      <w:r>
        <w:rPr>
          <w:rFonts w:hint="eastAsia" w:ascii="仿宋_GB2312" w:hAnsi="仿宋_GB2312" w:eastAsia="仿宋_GB2312" w:cs="仿宋_GB2312"/>
          <w:b/>
          <w:bCs/>
          <w:spacing w:val="0"/>
          <w:sz w:val="32"/>
          <w:szCs w:val="32"/>
          <w:highlight w:val="none"/>
          <w:lang w:val="en-US" w:eastAsia="zh-CN"/>
        </w:rPr>
        <w:t xml:space="preserve">附件1  </w:t>
      </w:r>
      <w:r>
        <w:rPr>
          <w:rFonts w:hint="eastAsia" w:ascii="仿宋_GB2312" w:hAnsi="仿宋_GB2312" w:eastAsia="仿宋_GB2312" w:cs="仿宋_GB2312"/>
          <w:spacing w:val="0"/>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 xml:space="preserve">        </w:t>
      </w:r>
    </w:p>
    <w:p w14:paraId="1F9EC8AA">
      <w:pPr>
        <w:spacing w:after="120" w:afterLines="50" w:line="600" w:lineRule="exact"/>
        <w:ind w:firstLine="720" w:firstLineChars="200"/>
        <w:jc w:val="both"/>
        <w:rPr>
          <w:rFonts w:hint="eastAsia" w:ascii="方正小标宋简体" w:hAnsi="方正小标宋简体" w:eastAsia="方正小标宋简体" w:cs="方正小标宋简体"/>
          <w:sz w:val="24"/>
          <w:highlight w:val="none"/>
        </w:rPr>
      </w:pPr>
      <w:r>
        <w:rPr>
          <w:rFonts w:hint="eastAsia" w:ascii="方正小标宋简体" w:hAnsi="方正小标宋简体" w:eastAsia="方正小标宋简体" w:cs="方正小标宋简体"/>
          <w:sz w:val="36"/>
          <w:szCs w:val="36"/>
          <w:highlight w:val="none"/>
        </w:rPr>
        <w:t>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tbl>
      <w:tblPr>
        <w:tblStyle w:val="11"/>
        <w:tblW w:w="9458" w:type="dxa"/>
        <w:jc w:val="center"/>
        <w:tblLayout w:type="fixed"/>
        <w:tblCellMar>
          <w:top w:w="0" w:type="dxa"/>
          <w:left w:w="108" w:type="dxa"/>
          <w:bottom w:w="0" w:type="dxa"/>
          <w:right w:w="108" w:type="dxa"/>
        </w:tblCellMar>
      </w:tblPr>
      <w:tblGrid>
        <w:gridCol w:w="3067"/>
        <w:gridCol w:w="1373"/>
        <w:gridCol w:w="832"/>
        <w:gridCol w:w="911"/>
        <w:gridCol w:w="1196"/>
        <w:gridCol w:w="1094"/>
        <w:gridCol w:w="985"/>
      </w:tblGrid>
      <w:tr w14:paraId="6859CBE0">
        <w:tblPrEx>
          <w:tblCellMar>
            <w:top w:w="0" w:type="dxa"/>
            <w:left w:w="108" w:type="dxa"/>
            <w:bottom w:w="0" w:type="dxa"/>
            <w:right w:w="108" w:type="dxa"/>
          </w:tblCellMar>
        </w:tblPrEx>
        <w:trPr>
          <w:trHeight w:val="513" w:hRule="atLeast"/>
          <w:jc w:val="center"/>
        </w:trPr>
        <w:tc>
          <w:tcPr>
            <w:tcW w:w="3067" w:type="dxa"/>
            <w:vMerge w:val="restart"/>
            <w:tcBorders>
              <w:top w:val="single" w:color="auto" w:sz="4" w:space="0"/>
              <w:left w:val="single" w:color="auto" w:sz="4" w:space="0"/>
              <w:bottom w:val="single" w:color="auto" w:sz="4" w:space="0"/>
              <w:right w:val="single" w:color="auto" w:sz="4" w:space="0"/>
            </w:tcBorders>
            <w:noWrap w:val="0"/>
            <w:vAlign w:val="center"/>
          </w:tcPr>
          <w:p w14:paraId="252318A7">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205" w:type="dxa"/>
            <w:gridSpan w:val="2"/>
            <w:tcBorders>
              <w:top w:val="single" w:color="auto" w:sz="4" w:space="0"/>
              <w:left w:val="nil"/>
              <w:bottom w:val="single" w:color="auto" w:sz="4" w:space="0"/>
              <w:right w:val="single" w:color="auto" w:sz="4" w:space="0"/>
            </w:tcBorders>
            <w:noWrap w:val="0"/>
            <w:vAlign w:val="center"/>
          </w:tcPr>
          <w:p w14:paraId="4EBEABF5">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107" w:type="dxa"/>
            <w:gridSpan w:val="2"/>
            <w:tcBorders>
              <w:top w:val="single" w:color="auto" w:sz="4" w:space="0"/>
              <w:left w:val="nil"/>
              <w:bottom w:val="single" w:color="auto" w:sz="4" w:space="0"/>
              <w:right w:val="single" w:color="auto" w:sz="4" w:space="0"/>
            </w:tcBorders>
            <w:noWrap w:val="0"/>
            <w:vAlign w:val="center"/>
          </w:tcPr>
          <w:p w14:paraId="2F83F0AF">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年实际在职人数</w:t>
            </w:r>
          </w:p>
        </w:tc>
        <w:tc>
          <w:tcPr>
            <w:tcW w:w="2079" w:type="dxa"/>
            <w:gridSpan w:val="2"/>
            <w:tcBorders>
              <w:top w:val="single" w:color="auto" w:sz="4" w:space="0"/>
              <w:left w:val="nil"/>
              <w:bottom w:val="single" w:color="auto" w:sz="4" w:space="0"/>
              <w:right w:val="single" w:color="auto" w:sz="4" w:space="0"/>
            </w:tcBorders>
            <w:noWrap w:val="0"/>
            <w:vAlign w:val="center"/>
          </w:tcPr>
          <w:p w14:paraId="1BE8447E">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14:paraId="7F27ABDB">
        <w:tblPrEx>
          <w:tblCellMar>
            <w:top w:w="0" w:type="dxa"/>
            <w:left w:w="108" w:type="dxa"/>
            <w:bottom w:w="0" w:type="dxa"/>
            <w:right w:w="108" w:type="dxa"/>
          </w:tblCellMar>
        </w:tblPrEx>
        <w:trPr>
          <w:trHeight w:val="394" w:hRule="atLeast"/>
          <w:jc w:val="center"/>
        </w:trPr>
        <w:tc>
          <w:tcPr>
            <w:tcW w:w="3067" w:type="dxa"/>
            <w:vMerge w:val="continue"/>
            <w:tcBorders>
              <w:top w:val="single" w:color="auto" w:sz="4" w:space="0"/>
              <w:left w:val="single" w:color="auto" w:sz="4" w:space="0"/>
              <w:bottom w:val="single" w:color="auto" w:sz="4" w:space="0"/>
              <w:right w:val="single" w:color="auto" w:sz="4" w:space="0"/>
            </w:tcBorders>
            <w:noWrap w:val="0"/>
            <w:vAlign w:val="center"/>
          </w:tcPr>
          <w:p w14:paraId="2376423E">
            <w:pPr>
              <w:widowControl/>
              <w:spacing w:line="360" w:lineRule="exact"/>
              <w:jc w:val="left"/>
              <w:rPr>
                <w:rFonts w:hint="eastAsia" w:ascii="仿宋_GB2312" w:hAnsi="仿宋_GB2312" w:eastAsia="仿宋_GB2312" w:cs="仿宋_GB2312"/>
                <w:sz w:val="20"/>
                <w:szCs w:val="20"/>
                <w:highlight w:val="none"/>
              </w:rPr>
            </w:pPr>
          </w:p>
        </w:tc>
        <w:tc>
          <w:tcPr>
            <w:tcW w:w="2205" w:type="dxa"/>
            <w:gridSpan w:val="2"/>
            <w:tcBorders>
              <w:top w:val="single" w:color="auto" w:sz="4" w:space="0"/>
              <w:left w:val="nil"/>
              <w:bottom w:val="single" w:color="auto" w:sz="4" w:space="0"/>
              <w:right w:val="single" w:color="auto" w:sz="4" w:space="0"/>
            </w:tcBorders>
            <w:noWrap w:val="0"/>
            <w:vAlign w:val="center"/>
          </w:tcPr>
          <w:p w14:paraId="7707DA01">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21</w:t>
            </w:r>
          </w:p>
        </w:tc>
        <w:tc>
          <w:tcPr>
            <w:tcW w:w="2107" w:type="dxa"/>
            <w:gridSpan w:val="2"/>
            <w:tcBorders>
              <w:top w:val="single" w:color="auto" w:sz="4" w:space="0"/>
              <w:left w:val="nil"/>
              <w:bottom w:val="single" w:color="auto" w:sz="4" w:space="0"/>
              <w:right w:val="single" w:color="auto" w:sz="4" w:space="0"/>
            </w:tcBorders>
            <w:noWrap w:val="0"/>
            <w:vAlign w:val="center"/>
          </w:tcPr>
          <w:p w14:paraId="60D8A490">
            <w:pPr>
              <w:widowControl/>
              <w:spacing w:line="360" w:lineRule="exact"/>
              <w:jc w:val="center"/>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18</w:t>
            </w:r>
          </w:p>
        </w:tc>
        <w:tc>
          <w:tcPr>
            <w:tcW w:w="2079" w:type="dxa"/>
            <w:gridSpan w:val="2"/>
            <w:tcBorders>
              <w:top w:val="single" w:color="auto" w:sz="4" w:space="0"/>
              <w:left w:val="nil"/>
              <w:bottom w:val="single" w:color="auto" w:sz="4" w:space="0"/>
              <w:right w:val="single" w:color="auto" w:sz="4" w:space="0"/>
            </w:tcBorders>
            <w:noWrap w:val="0"/>
            <w:vAlign w:val="center"/>
          </w:tcPr>
          <w:p w14:paraId="6233895C">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85.71%</w:t>
            </w:r>
            <w:r>
              <w:rPr>
                <w:rFonts w:hint="eastAsia" w:ascii="仿宋_GB2312" w:hAnsi="仿宋_GB2312" w:eastAsia="仿宋_GB2312" w:cs="仿宋_GB2312"/>
                <w:sz w:val="20"/>
                <w:szCs w:val="20"/>
                <w:highlight w:val="none"/>
              </w:rPr>
              <w:t>　</w:t>
            </w:r>
          </w:p>
        </w:tc>
      </w:tr>
      <w:tr w14:paraId="543C92A8">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201E7404">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205" w:type="dxa"/>
            <w:gridSpan w:val="2"/>
            <w:tcBorders>
              <w:top w:val="single" w:color="auto" w:sz="4" w:space="0"/>
              <w:left w:val="nil"/>
              <w:bottom w:val="single" w:color="auto" w:sz="4" w:space="0"/>
              <w:right w:val="single" w:color="000000" w:sz="4" w:space="0"/>
            </w:tcBorders>
            <w:noWrap w:val="0"/>
            <w:vAlign w:val="center"/>
          </w:tcPr>
          <w:p w14:paraId="1BB2B50C">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4</w:t>
            </w:r>
            <w:r>
              <w:rPr>
                <w:rFonts w:hint="eastAsia" w:ascii="仿宋_GB2312" w:hAnsi="仿宋_GB2312" w:eastAsia="仿宋_GB2312" w:cs="仿宋_GB2312"/>
                <w:b/>
                <w:bCs/>
                <w:sz w:val="20"/>
                <w:szCs w:val="20"/>
                <w:highlight w:val="none"/>
              </w:rPr>
              <w:t>年决算数</w:t>
            </w:r>
          </w:p>
        </w:tc>
        <w:tc>
          <w:tcPr>
            <w:tcW w:w="2107" w:type="dxa"/>
            <w:gridSpan w:val="2"/>
            <w:tcBorders>
              <w:top w:val="single" w:color="auto" w:sz="4" w:space="0"/>
              <w:left w:val="nil"/>
              <w:bottom w:val="single" w:color="auto" w:sz="4" w:space="0"/>
              <w:right w:val="single" w:color="000000" w:sz="4" w:space="0"/>
            </w:tcBorders>
            <w:noWrap w:val="0"/>
            <w:vAlign w:val="center"/>
          </w:tcPr>
          <w:p w14:paraId="494594EB">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年预算数</w:t>
            </w:r>
          </w:p>
        </w:tc>
        <w:tc>
          <w:tcPr>
            <w:tcW w:w="2079" w:type="dxa"/>
            <w:gridSpan w:val="2"/>
            <w:tcBorders>
              <w:top w:val="single" w:color="auto" w:sz="4" w:space="0"/>
              <w:left w:val="nil"/>
              <w:bottom w:val="single" w:color="auto" w:sz="4" w:space="0"/>
              <w:right w:val="single" w:color="000000" w:sz="4" w:space="0"/>
            </w:tcBorders>
            <w:noWrap w:val="0"/>
            <w:vAlign w:val="center"/>
          </w:tcPr>
          <w:p w14:paraId="1CA706F8">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年决算数</w:t>
            </w:r>
          </w:p>
        </w:tc>
      </w:tr>
      <w:tr w14:paraId="4AD25850">
        <w:tblPrEx>
          <w:tblCellMar>
            <w:top w:w="0" w:type="dxa"/>
            <w:left w:w="108" w:type="dxa"/>
            <w:bottom w:w="0" w:type="dxa"/>
            <w:right w:w="108" w:type="dxa"/>
          </w:tblCellMar>
        </w:tblPrEx>
        <w:trPr>
          <w:trHeight w:val="382" w:hRule="atLeast"/>
          <w:jc w:val="center"/>
        </w:trPr>
        <w:tc>
          <w:tcPr>
            <w:tcW w:w="3067" w:type="dxa"/>
            <w:tcBorders>
              <w:top w:val="nil"/>
              <w:left w:val="single" w:color="auto" w:sz="4" w:space="0"/>
              <w:bottom w:val="single" w:color="auto" w:sz="4" w:space="0"/>
              <w:right w:val="single" w:color="auto" w:sz="4" w:space="0"/>
            </w:tcBorders>
            <w:noWrap w:val="0"/>
            <w:vAlign w:val="center"/>
          </w:tcPr>
          <w:p w14:paraId="154DF722">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49FFF078">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107" w:type="dxa"/>
            <w:gridSpan w:val="2"/>
            <w:tcBorders>
              <w:top w:val="single" w:color="auto" w:sz="4" w:space="0"/>
              <w:left w:val="nil"/>
              <w:bottom w:val="single" w:color="auto" w:sz="4" w:space="0"/>
              <w:right w:val="single" w:color="000000" w:sz="4" w:space="0"/>
            </w:tcBorders>
            <w:noWrap w:val="0"/>
            <w:vAlign w:val="center"/>
          </w:tcPr>
          <w:p w14:paraId="6D2E2F6A">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45BFA109">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r>
      <w:tr w14:paraId="22A55A0E">
        <w:tblPrEx>
          <w:tblCellMar>
            <w:top w:w="0" w:type="dxa"/>
            <w:left w:w="108" w:type="dxa"/>
            <w:bottom w:w="0" w:type="dxa"/>
            <w:right w:w="108" w:type="dxa"/>
          </w:tblCellMar>
        </w:tblPrEx>
        <w:trPr>
          <w:trHeight w:val="333" w:hRule="atLeast"/>
          <w:jc w:val="center"/>
        </w:trPr>
        <w:tc>
          <w:tcPr>
            <w:tcW w:w="3067" w:type="dxa"/>
            <w:tcBorders>
              <w:top w:val="nil"/>
              <w:left w:val="single" w:color="auto" w:sz="4" w:space="0"/>
              <w:bottom w:val="single" w:color="auto" w:sz="4" w:space="0"/>
              <w:right w:val="single" w:color="auto" w:sz="4" w:space="0"/>
            </w:tcBorders>
            <w:noWrap w:val="0"/>
            <w:vAlign w:val="center"/>
          </w:tcPr>
          <w:p w14:paraId="4A4C8132">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42F133E2">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107" w:type="dxa"/>
            <w:gridSpan w:val="2"/>
            <w:tcBorders>
              <w:top w:val="single" w:color="auto" w:sz="4" w:space="0"/>
              <w:left w:val="nil"/>
              <w:bottom w:val="single" w:color="auto" w:sz="4" w:space="0"/>
              <w:right w:val="single" w:color="000000" w:sz="4" w:space="0"/>
            </w:tcBorders>
            <w:noWrap w:val="0"/>
            <w:vAlign w:val="center"/>
          </w:tcPr>
          <w:p w14:paraId="5C115AB0">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5EF76BA4">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r>
      <w:tr w14:paraId="553515B4">
        <w:tblPrEx>
          <w:tblCellMar>
            <w:top w:w="0" w:type="dxa"/>
            <w:left w:w="108" w:type="dxa"/>
            <w:bottom w:w="0" w:type="dxa"/>
            <w:right w:w="108" w:type="dxa"/>
          </w:tblCellMar>
        </w:tblPrEx>
        <w:trPr>
          <w:trHeight w:val="33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60E1826E">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2205" w:type="dxa"/>
            <w:gridSpan w:val="2"/>
            <w:tcBorders>
              <w:top w:val="single" w:color="auto" w:sz="4" w:space="0"/>
              <w:left w:val="nil"/>
              <w:bottom w:val="single" w:color="auto" w:sz="4" w:space="0"/>
              <w:right w:val="single" w:color="000000" w:sz="4" w:space="0"/>
            </w:tcBorders>
            <w:noWrap w:val="0"/>
            <w:vAlign w:val="center"/>
          </w:tcPr>
          <w:p w14:paraId="75AE46D8">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107" w:type="dxa"/>
            <w:gridSpan w:val="2"/>
            <w:tcBorders>
              <w:top w:val="single" w:color="auto" w:sz="4" w:space="0"/>
              <w:left w:val="nil"/>
              <w:bottom w:val="single" w:color="auto" w:sz="4" w:space="0"/>
              <w:right w:val="single" w:color="000000" w:sz="4" w:space="0"/>
            </w:tcBorders>
            <w:noWrap w:val="0"/>
            <w:vAlign w:val="center"/>
          </w:tcPr>
          <w:p w14:paraId="3CF9E2AB">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61D0B872">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r>
      <w:tr w14:paraId="1D3BC21C">
        <w:tblPrEx>
          <w:tblCellMar>
            <w:top w:w="0" w:type="dxa"/>
            <w:left w:w="108" w:type="dxa"/>
            <w:bottom w:w="0" w:type="dxa"/>
            <w:right w:w="108" w:type="dxa"/>
          </w:tblCellMar>
        </w:tblPrEx>
        <w:trPr>
          <w:trHeight w:val="346" w:hRule="atLeast"/>
          <w:jc w:val="center"/>
        </w:trPr>
        <w:tc>
          <w:tcPr>
            <w:tcW w:w="3067" w:type="dxa"/>
            <w:tcBorders>
              <w:top w:val="nil"/>
              <w:left w:val="single" w:color="auto" w:sz="4" w:space="0"/>
              <w:bottom w:val="single" w:color="auto" w:sz="4" w:space="0"/>
              <w:right w:val="single" w:color="auto" w:sz="4" w:space="0"/>
            </w:tcBorders>
            <w:noWrap w:val="0"/>
            <w:vAlign w:val="center"/>
          </w:tcPr>
          <w:p w14:paraId="5B19C493">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205" w:type="dxa"/>
            <w:gridSpan w:val="2"/>
            <w:tcBorders>
              <w:top w:val="single" w:color="auto" w:sz="4" w:space="0"/>
              <w:left w:val="nil"/>
              <w:bottom w:val="single" w:color="auto" w:sz="4" w:space="0"/>
              <w:right w:val="single" w:color="000000" w:sz="4" w:space="0"/>
            </w:tcBorders>
            <w:noWrap w:val="0"/>
            <w:vAlign w:val="center"/>
          </w:tcPr>
          <w:p w14:paraId="5084F125">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107" w:type="dxa"/>
            <w:gridSpan w:val="2"/>
            <w:tcBorders>
              <w:top w:val="single" w:color="auto" w:sz="4" w:space="0"/>
              <w:left w:val="nil"/>
              <w:bottom w:val="single" w:color="auto" w:sz="4" w:space="0"/>
              <w:right w:val="single" w:color="000000" w:sz="4" w:space="0"/>
            </w:tcBorders>
            <w:noWrap w:val="0"/>
            <w:vAlign w:val="center"/>
          </w:tcPr>
          <w:p w14:paraId="64B2AD62">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70875020">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r>
      <w:tr w14:paraId="3F7C0CA1">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5CA4CEA7">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2BA5ECDF">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107" w:type="dxa"/>
            <w:gridSpan w:val="2"/>
            <w:tcBorders>
              <w:top w:val="single" w:color="auto" w:sz="4" w:space="0"/>
              <w:left w:val="nil"/>
              <w:bottom w:val="single" w:color="auto" w:sz="4" w:space="0"/>
              <w:right w:val="single" w:color="000000" w:sz="4" w:space="0"/>
            </w:tcBorders>
            <w:noWrap w:val="0"/>
            <w:vAlign w:val="center"/>
          </w:tcPr>
          <w:p w14:paraId="191C54A9">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22555F95">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0D3BAED0">
        <w:tblPrEx>
          <w:tblCellMar>
            <w:top w:w="0" w:type="dxa"/>
            <w:left w:w="108" w:type="dxa"/>
            <w:bottom w:w="0" w:type="dxa"/>
            <w:right w:w="108" w:type="dxa"/>
          </w:tblCellMar>
        </w:tblPrEx>
        <w:trPr>
          <w:trHeight w:val="273" w:hRule="atLeast"/>
          <w:jc w:val="center"/>
        </w:trPr>
        <w:tc>
          <w:tcPr>
            <w:tcW w:w="3067" w:type="dxa"/>
            <w:tcBorders>
              <w:top w:val="nil"/>
              <w:left w:val="single" w:color="auto" w:sz="4" w:space="0"/>
              <w:bottom w:val="single" w:color="auto" w:sz="4" w:space="0"/>
              <w:right w:val="single" w:color="auto" w:sz="4" w:space="0"/>
            </w:tcBorders>
            <w:noWrap w:val="0"/>
            <w:vAlign w:val="center"/>
          </w:tcPr>
          <w:p w14:paraId="3E4B9E4A">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205" w:type="dxa"/>
            <w:gridSpan w:val="2"/>
            <w:tcBorders>
              <w:top w:val="single" w:color="auto" w:sz="4" w:space="0"/>
              <w:left w:val="nil"/>
              <w:bottom w:val="single" w:color="auto" w:sz="4" w:space="0"/>
              <w:right w:val="single" w:color="000000" w:sz="4" w:space="0"/>
            </w:tcBorders>
            <w:noWrap w:val="0"/>
            <w:vAlign w:val="center"/>
          </w:tcPr>
          <w:p w14:paraId="195E76E8">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107" w:type="dxa"/>
            <w:gridSpan w:val="2"/>
            <w:tcBorders>
              <w:top w:val="single" w:color="auto" w:sz="4" w:space="0"/>
              <w:left w:val="nil"/>
              <w:bottom w:val="single" w:color="auto" w:sz="4" w:space="0"/>
              <w:right w:val="single" w:color="000000" w:sz="4" w:space="0"/>
            </w:tcBorders>
            <w:noWrap w:val="0"/>
            <w:vAlign w:val="center"/>
          </w:tcPr>
          <w:p w14:paraId="2BD1B09A">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1312E137">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r>
      <w:tr w14:paraId="4191009D">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51C52978">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205" w:type="dxa"/>
            <w:gridSpan w:val="2"/>
            <w:tcBorders>
              <w:top w:val="single" w:color="auto" w:sz="4" w:space="0"/>
              <w:left w:val="nil"/>
              <w:bottom w:val="single" w:color="auto" w:sz="4" w:space="0"/>
              <w:right w:val="single" w:color="000000" w:sz="4" w:space="0"/>
            </w:tcBorders>
            <w:noWrap w:val="0"/>
            <w:vAlign w:val="center"/>
          </w:tcPr>
          <w:p w14:paraId="0C53AD1D">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382</w:t>
            </w:r>
          </w:p>
        </w:tc>
        <w:tc>
          <w:tcPr>
            <w:tcW w:w="2107" w:type="dxa"/>
            <w:gridSpan w:val="2"/>
            <w:tcBorders>
              <w:top w:val="single" w:color="auto" w:sz="4" w:space="0"/>
              <w:left w:val="nil"/>
              <w:bottom w:val="single" w:color="auto" w:sz="4" w:space="0"/>
              <w:right w:val="single" w:color="000000" w:sz="4" w:space="0"/>
            </w:tcBorders>
            <w:noWrap w:val="0"/>
            <w:vAlign w:val="center"/>
          </w:tcPr>
          <w:p w14:paraId="42552171">
            <w:pPr>
              <w:widowControl/>
              <w:spacing w:line="360" w:lineRule="exact"/>
              <w:jc w:val="center"/>
              <w:rPr>
                <w:rFonts w:hint="default" w:ascii="仿宋_GB2312" w:hAnsi="仿宋_GB2312" w:eastAsia="仿宋_GB2312" w:cs="仿宋_GB2312"/>
                <w:sz w:val="20"/>
                <w:szCs w:val="20"/>
                <w:highlight w:val="none"/>
                <w:lang w:val="en-US" w:eastAsia="zh-CN"/>
              </w:rPr>
            </w:pPr>
          </w:p>
        </w:tc>
        <w:tc>
          <w:tcPr>
            <w:tcW w:w="2079" w:type="dxa"/>
            <w:gridSpan w:val="2"/>
            <w:tcBorders>
              <w:top w:val="single" w:color="auto" w:sz="4" w:space="0"/>
              <w:left w:val="nil"/>
              <w:bottom w:val="single" w:color="auto" w:sz="4" w:space="0"/>
              <w:right w:val="single" w:color="000000" w:sz="4" w:space="0"/>
            </w:tcBorders>
            <w:noWrap w:val="0"/>
            <w:vAlign w:val="center"/>
          </w:tcPr>
          <w:p w14:paraId="0C62F594">
            <w:pPr>
              <w:widowControl/>
              <w:spacing w:line="360" w:lineRule="exact"/>
              <w:jc w:val="center"/>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370.23</w:t>
            </w:r>
          </w:p>
        </w:tc>
      </w:tr>
      <w:tr w14:paraId="501865E8">
        <w:tblPrEx>
          <w:tblCellMar>
            <w:top w:w="0" w:type="dxa"/>
            <w:left w:w="108" w:type="dxa"/>
            <w:bottom w:w="0" w:type="dxa"/>
            <w:right w:w="108" w:type="dxa"/>
          </w:tblCellMar>
        </w:tblPrEx>
        <w:trPr>
          <w:trHeight w:val="309" w:hRule="atLeast"/>
          <w:jc w:val="center"/>
        </w:trPr>
        <w:tc>
          <w:tcPr>
            <w:tcW w:w="3067" w:type="dxa"/>
            <w:tcBorders>
              <w:top w:val="nil"/>
              <w:left w:val="single" w:color="auto" w:sz="4" w:space="0"/>
              <w:bottom w:val="single" w:color="auto" w:sz="4" w:space="0"/>
              <w:right w:val="single" w:color="auto" w:sz="4" w:space="0"/>
            </w:tcBorders>
            <w:noWrap w:val="0"/>
            <w:vAlign w:val="center"/>
          </w:tcPr>
          <w:p w14:paraId="1B9243E2">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1、业务工作经费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17212993">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107" w:type="dxa"/>
            <w:gridSpan w:val="2"/>
            <w:tcBorders>
              <w:top w:val="single" w:color="auto" w:sz="4" w:space="0"/>
              <w:left w:val="nil"/>
              <w:bottom w:val="single" w:color="auto" w:sz="4" w:space="0"/>
              <w:right w:val="single" w:color="000000" w:sz="4" w:space="0"/>
            </w:tcBorders>
            <w:noWrap w:val="0"/>
            <w:vAlign w:val="center"/>
          </w:tcPr>
          <w:p w14:paraId="1A5698C3">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079" w:type="dxa"/>
            <w:gridSpan w:val="2"/>
            <w:tcBorders>
              <w:top w:val="single" w:color="auto" w:sz="4" w:space="0"/>
              <w:left w:val="nil"/>
              <w:bottom w:val="single" w:color="auto" w:sz="4" w:space="0"/>
              <w:right w:val="single" w:color="000000" w:sz="4" w:space="0"/>
            </w:tcBorders>
            <w:noWrap w:val="0"/>
            <w:vAlign w:val="center"/>
          </w:tcPr>
          <w:p w14:paraId="546E979E">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0BBB0DF7">
        <w:tblPrEx>
          <w:tblCellMar>
            <w:top w:w="0" w:type="dxa"/>
            <w:left w:w="108" w:type="dxa"/>
            <w:bottom w:w="0" w:type="dxa"/>
            <w:right w:w="108" w:type="dxa"/>
          </w:tblCellMar>
        </w:tblPrEx>
        <w:trPr>
          <w:trHeight w:val="322" w:hRule="atLeast"/>
          <w:jc w:val="center"/>
        </w:trPr>
        <w:tc>
          <w:tcPr>
            <w:tcW w:w="3067" w:type="dxa"/>
            <w:tcBorders>
              <w:top w:val="nil"/>
              <w:left w:val="single" w:color="auto" w:sz="4" w:space="0"/>
              <w:bottom w:val="single" w:color="auto" w:sz="4" w:space="0"/>
              <w:right w:val="single" w:color="auto" w:sz="4" w:space="0"/>
            </w:tcBorders>
            <w:noWrap w:val="0"/>
            <w:vAlign w:val="center"/>
          </w:tcPr>
          <w:p w14:paraId="6631FBDE">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2、运行维护经费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11676A1F">
            <w:pPr>
              <w:widowControl/>
              <w:spacing w:line="360" w:lineRule="exact"/>
              <w:jc w:val="center"/>
              <w:rPr>
                <w:rFonts w:hint="default" w:ascii="仿宋_GB2312" w:hAnsi="仿宋_GB2312" w:eastAsia="仿宋_GB2312" w:cs="仿宋_GB2312"/>
                <w:sz w:val="20"/>
                <w:szCs w:val="20"/>
                <w:highlight w:val="none"/>
                <w:lang w:val="en-US" w:eastAsia="zh-CN"/>
              </w:rPr>
            </w:pPr>
          </w:p>
        </w:tc>
        <w:tc>
          <w:tcPr>
            <w:tcW w:w="2107" w:type="dxa"/>
            <w:gridSpan w:val="2"/>
            <w:tcBorders>
              <w:top w:val="single" w:color="auto" w:sz="4" w:space="0"/>
              <w:left w:val="nil"/>
              <w:bottom w:val="single" w:color="auto" w:sz="4" w:space="0"/>
              <w:right w:val="single" w:color="000000" w:sz="4" w:space="0"/>
            </w:tcBorders>
            <w:noWrap w:val="0"/>
            <w:vAlign w:val="center"/>
          </w:tcPr>
          <w:p w14:paraId="3171810B">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2B88FFC3">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09358B31">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190C4B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3、本级专项资金</w:t>
            </w:r>
          </w:p>
        </w:tc>
        <w:tc>
          <w:tcPr>
            <w:tcW w:w="2205" w:type="dxa"/>
            <w:gridSpan w:val="2"/>
            <w:tcBorders>
              <w:top w:val="single" w:color="auto" w:sz="4" w:space="0"/>
              <w:left w:val="nil"/>
              <w:bottom w:val="single" w:color="auto" w:sz="4" w:space="0"/>
              <w:right w:val="single" w:color="000000" w:sz="4" w:space="0"/>
            </w:tcBorders>
            <w:noWrap w:val="0"/>
            <w:vAlign w:val="center"/>
          </w:tcPr>
          <w:p w14:paraId="1EB641C9">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382</w:t>
            </w:r>
          </w:p>
        </w:tc>
        <w:tc>
          <w:tcPr>
            <w:tcW w:w="2107" w:type="dxa"/>
            <w:gridSpan w:val="2"/>
            <w:tcBorders>
              <w:top w:val="single" w:color="auto" w:sz="4" w:space="0"/>
              <w:left w:val="nil"/>
              <w:bottom w:val="single" w:color="auto" w:sz="4" w:space="0"/>
              <w:right w:val="single" w:color="000000" w:sz="4" w:space="0"/>
            </w:tcBorders>
            <w:noWrap w:val="0"/>
            <w:vAlign w:val="center"/>
          </w:tcPr>
          <w:p w14:paraId="1ECE2A1E">
            <w:pPr>
              <w:widowControl/>
              <w:spacing w:line="360" w:lineRule="exact"/>
              <w:jc w:val="both"/>
              <w:rPr>
                <w:rFonts w:hint="default" w:ascii="仿宋_GB2312" w:hAnsi="仿宋_GB2312" w:eastAsia="仿宋_GB2312" w:cs="仿宋_GB2312"/>
                <w:sz w:val="20"/>
                <w:szCs w:val="20"/>
                <w:highlight w:val="none"/>
                <w:lang w:val="en-US" w:eastAsia="zh-CN"/>
              </w:rPr>
            </w:pPr>
          </w:p>
        </w:tc>
        <w:tc>
          <w:tcPr>
            <w:tcW w:w="2079" w:type="dxa"/>
            <w:gridSpan w:val="2"/>
            <w:tcBorders>
              <w:top w:val="single" w:color="auto" w:sz="4" w:space="0"/>
              <w:left w:val="nil"/>
              <w:bottom w:val="single" w:color="auto" w:sz="4" w:space="0"/>
              <w:right w:val="single" w:color="000000" w:sz="4" w:space="0"/>
            </w:tcBorders>
            <w:noWrap w:val="0"/>
            <w:vAlign w:val="center"/>
          </w:tcPr>
          <w:p w14:paraId="4F1521D3">
            <w:pPr>
              <w:widowControl/>
              <w:spacing w:line="360" w:lineRule="exact"/>
              <w:jc w:val="center"/>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370.23</w:t>
            </w:r>
          </w:p>
        </w:tc>
      </w:tr>
      <w:tr w14:paraId="2C822EB0">
        <w:tblPrEx>
          <w:tblCellMar>
            <w:top w:w="0" w:type="dxa"/>
            <w:left w:w="108" w:type="dxa"/>
            <w:bottom w:w="0" w:type="dxa"/>
            <w:right w:w="108" w:type="dxa"/>
          </w:tblCellMar>
        </w:tblPrEx>
        <w:trPr>
          <w:trHeight w:val="479" w:hRule="atLeast"/>
          <w:jc w:val="center"/>
        </w:trPr>
        <w:tc>
          <w:tcPr>
            <w:tcW w:w="3067" w:type="dxa"/>
            <w:tcBorders>
              <w:top w:val="nil"/>
              <w:left w:val="single" w:color="auto" w:sz="4" w:space="0"/>
              <w:bottom w:val="single" w:color="auto" w:sz="4" w:space="0"/>
              <w:right w:val="single" w:color="auto" w:sz="4" w:space="0"/>
            </w:tcBorders>
            <w:noWrap w:val="0"/>
            <w:vAlign w:val="center"/>
          </w:tcPr>
          <w:p w14:paraId="651887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（1）罗家坳填埋场内运维、渗滤液外运处置及静脉产业园运维</w:t>
            </w:r>
          </w:p>
        </w:tc>
        <w:tc>
          <w:tcPr>
            <w:tcW w:w="2205" w:type="dxa"/>
            <w:gridSpan w:val="2"/>
            <w:tcBorders>
              <w:top w:val="single" w:color="auto" w:sz="4" w:space="0"/>
              <w:left w:val="nil"/>
              <w:bottom w:val="single" w:color="auto" w:sz="4" w:space="0"/>
              <w:right w:val="single" w:color="000000" w:sz="4" w:space="0"/>
            </w:tcBorders>
            <w:noWrap w:val="0"/>
            <w:vAlign w:val="center"/>
          </w:tcPr>
          <w:p w14:paraId="2CD89AD8">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262.28</w:t>
            </w:r>
          </w:p>
        </w:tc>
        <w:tc>
          <w:tcPr>
            <w:tcW w:w="2107" w:type="dxa"/>
            <w:gridSpan w:val="2"/>
            <w:tcBorders>
              <w:top w:val="single" w:color="auto" w:sz="4" w:space="0"/>
              <w:left w:val="nil"/>
              <w:bottom w:val="single" w:color="auto" w:sz="4" w:space="0"/>
              <w:right w:val="single" w:color="000000" w:sz="4" w:space="0"/>
            </w:tcBorders>
            <w:noWrap w:val="0"/>
            <w:vAlign w:val="center"/>
          </w:tcPr>
          <w:p w14:paraId="48A5C3EF">
            <w:pPr>
              <w:widowControl/>
              <w:spacing w:line="360" w:lineRule="exact"/>
              <w:jc w:val="both"/>
              <w:rPr>
                <w:rFonts w:hint="default" w:ascii="仿宋_GB2312" w:hAnsi="仿宋_GB2312" w:eastAsia="仿宋_GB2312" w:cs="仿宋_GB2312"/>
                <w:sz w:val="20"/>
                <w:szCs w:val="20"/>
                <w:highlight w:val="none"/>
                <w:lang w:val="en-US" w:eastAsia="zh-CN"/>
              </w:rPr>
            </w:pPr>
          </w:p>
        </w:tc>
        <w:tc>
          <w:tcPr>
            <w:tcW w:w="2079" w:type="dxa"/>
            <w:gridSpan w:val="2"/>
            <w:tcBorders>
              <w:top w:val="single" w:color="auto" w:sz="4" w:space="0"/>
              <w:left w:val="nil"/>
              <w:bottom w:val="single" w:color="auto" w:sz="4" w:space="0"/>
              <w:right w:val="single" w:color="000000" w:sz="4" w:space="0"/>
            </w:tcBorders>
            <w:noWrap w:val="0"/>
            <w:vAlign w:val="center"/>
          </w:tcPr>
          <w:p w14:paraId="6E14DA45">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332.73</w:t>
            </w:r>
          </w:p>
        </w:tc>
      </w:tr>
      <w:tr w14:paraId="1356548A">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777C45C3">
            <w:pPr>
              <w:widowControl/>
              <w:spacing w:line="360" w:lineRule="exact"/>
              <w:jc w:val="left"/>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（2）日常工作经费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67ADEA70">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107" w:type="dxa"/>
            <w:gridSpan w:val="2"/>
            <w:tcBorders>
              <w:top w:val="single" w:color="auto" w:sz="4" w:space="0"/>
              <w:left w:val="nil"/>
              <w:bottom w:val="single" w:color="auto" w:sz="4" w:space="0"/>
              <w:right w:val="single" w:color="000000" w:sz="4" w:space="0"/>
            </w:tcBorders>
            <w:noWrap w:val="0"/>
            <w:vAlign w:val="center"/>
          </w:tcPr>
          <w:p w14:paraId="6FD7FFEA">
            <w:pPr>
              <w:widowControl/>
              <w:spacing w:line="360" w:lineRule="exact"/>
              <w:jc w:val="center"/>
              <w:rPr>
                <w:rFonts w:hint="default" w:ascii="仿宋_GB2312" w:hAnsi="仿宋_GB2312" w:eastAsia="仿宋_GB2312" w:cs="仿宋_GB2312"/>
                <w:sz w:val="20"/>
                <w:szCs w:val="20"/>
                <w:highlight w:val="none"/>
                <w:lang w:val="en-US" w:eastAsia="zh-CN"/>
              </w:rPr>
            </w:pPr>
          </w:p>
        </w:tc>
        <w:tc>
          <w:tcPr>
            <w:tcW w:w="2079" w:type="dxa"/>
            <w:gridSpan w:val="2"/>
            <w:tcBorders>
              <w:top w:val="single" w:color="auto" w:sz="4" w:space="0"/>
              <w:left w:val="nil"/>
              <w:bottom w:val="single" w:color="auto" w:sz="4" w:space="0"/>
              <w:right w:val="single" w:color="000000" w:sz="4" w:space="0"/>
            </w:tcBorders>
            <w:noWrap w:val="0"/>
            <w:vAlign w:val="center"/>
          </w:tcPr>
          <w:p w14:paraId="3FE4AF32">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37.5</w:t>
            </w:r>
          </w:p>
        </w:tc>
      </w:tr>
      <w:tr w14:paraId="6A3F39E6">
        <w:tblPrEx>
          <w:tblCellMar>
            <w:top w:w="0" w:type="dxa"/>
            <w:left w:w="108" w:type="dxa"/>
            <w:bottom w:w="0" w:type="dxa"/>
            <w:right w:w="108" w:type="dxa"/>
          </w:tblCellMar>
        </w:tblPrEx>
        <w:trPr>
          <w:trHeight w:val="381" w:hRule="atLeast"/>
          <w:jc w:val="center"/>
        </w:trPr>
        <w:tc>
          <w:tcPr>
            <w:tcW w:w="3067" w:type="dxa"/>
            <w:tcBorders>
              <w:top w:val="nil"/>
              <w:left w:val="single" w:color="auto" w:sz="4" w:space="0"/>
              <w:bottom w:val="single" w:color="auto" w:sz="4" w:space="0"/>
              <w:right w:val="single" w:color="auto" w:sz="4" w:space="0"/>
            </w:tcBorders>
            <w:noWrap w:val="0"/>
            <w:vAlign w:val="center"/>
          </w:tcPr>
          <w:p w14:paraId="06EF19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（3）静脉产业园区管理经费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6A713E6E">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27.9</w:t>
            </w:r>
          </w:p>
        </w:tc>
        <w:tc>
          <w:tcPr>
            <w:tcW w:w="2107" w:type="dxa"/>
            <w:gridSpan w:val="2"/>
            <w:tcBorders>
              <w:top w:val="single" w:color="auto" w:sz="4" w:space="0"/>
              <w:left w:val="nil"/>
              <w:bottom w:val="single" w:color="auto" w:sz="4" w:space="0"/>
              <w:right w:val="single" w:color="000000" w:sz="4" w:space="0"/>
            </w:tcBorders>
            <w:noWrap w:val="0"/>
            <w:vAlign w:val="center"/>
          </w:tcPr>
          <w:p w14:paraId="47AD48FE">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0EFCB766">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0DBCEF8F">
        <w:tblPrEx>
          <w:tblCellMar>
            <w:top w:w="0" w:type="dxa"/>
            <w:left w:w="108" w:type="dxa"/>
            <w:bottom w:w="0" w:type="dxa"/>
            <w:right w:w="108" w:type="dxa"/>
          </w:tblCellMar>
        </w:tblPrEx>
        <w:trPr>
          <w:trHeight w:val="449" w:hRule="atLeast"/>
          <w:jc w:val="center"/>
        </w:trPr>
        <w:tc>
          <w:tcPr>
            <w:tcW w:w="3067" w:type="dxa"/>
            <w:tcBorders>
              <w:top w:val="nil"/>
              <w:left w:val="single" w:color="auto" w:sz="4" w:space="0"/>
              <w:bottom w:val="single" w:color="auto" w:sz="4" w:space="0"/>
              <w:right w:val="single" w:color="auto" w:sz="4" w:space="0"/>
            </w:tcBorders>
            <w:noWrap w:val="0"/>
            <w:vAlign w:val="center"/>
          </w:tcPr>
          <w:p w14:paraId="36E0EDF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（4）罗家坳生活垃圾填埋场运维经费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5AFD4047">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91.82</w:t>
            </w:r>
          </w:p>
        </w:tc>
        <w:tc>
          <w:tcPr>
            <w:tcW w:w="2107" w:type="dxa"/>
            <w:gridSpan w:val="2"/>
            <w:tcBorders>
              <w:top w:val="single" w:color="auto" w:sz="4" w:space="0"/>
              <w:left w:val="nil"/>
              <w:bottom w:val="single" w:color="auto" w:sz="4" w:space="0"/>
              <w:right w:val="single" w:color="000000" w:sz="4" w:space="0"/>
            </w:tcBorders>
            <w:noWrap w:val="0"/>
            <w:vAlign w:val="center"/>
          </w:tcPr>
          <w:p w14:paraId="1EE4EDF5">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2525D9DA">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5D7DFF5B">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6BB41AFA">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4CB9338D">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20.93</w:t>
            </w:r>
            <w:r>
              <w:rPr>
                <w:rFonts w:hint="eastAsia" w:ascii="仿宋_GB2312" w:hAnsi="仿宋_GB2312" w:eastAsia="仿宋_GB2312" w:cs="仿宋_GB2312"/>
                <w:sz w:val="20"/>
                <w:szCs w:val="20"/>
                <w:highlight w:val="none"/>
              </w:rPr>
              <w:t>　</w:t>
            </w:r>
          </w:p>
        </w:tc>
        <w:tc>
          <w:tcPr>
            <w:tcW w:w="2107" w:type="dxa"/>
            <w:gridSpan w:val="2"/>
            <w:tcBorders>
              <w:top w:val="single" w:color="auto" w:sz="4" w:space="0"/>
              <w:left w:val="nil"/>
              <w:bottom w:val="single" w:color="auto" w:sz="4" w:space="0"/>
              <w:right w:val="single" w:color="000000" w:sz="4" w:space="0"/>
            </w:tcBorders>
            <w:noWrap w:val="0"/>
            <w:vAlign w:val="center"/>
          </w:tcPr>
          <w:p w14:paraId="24959FAB">
            <w:pPr>
              <w:widowControl/>
              <w:spacing w:line="360" w:lineRule="exact"/>
              <w:jc w:val="center"/>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21.16</w:t>
            </w:r>
          </w:p>
        </w:tc>
        <w:tc>
          <w:tcPr>
            <w:tcW w:w="2079" w:type="dxa"/>
            <w:gridSpan w:val="2"/>
            <w:tcBorders>
              <w:top w:val="single" w:color="auto" w:sz="4" w:space="0"/>
              <w:left w:val="nil"/>
              <w:bottom w:val="single" w:color="auto" w:sz="4" w:space="0"/>
              <w:right w:val="single" w:color="000000" w:sz="4" w:space="0"/>
            </w:tcBorders>
            <w:noWrap w:val="0"/>
            <w:vAlign w:val="center"/>
          </w:tcPr>
          <w:p w14:paraId="542BDEFE">
            <w:pPr>
              <w:widowControl/>
              <w:spacing w:line="360" w:lineRule="exact"/>
              <w:jc w:val="center"/>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18.71</w:t>
            </w:r>
          </w:p>
        </w:tc>
      </w:tr>
      <w:tr w14:paraId="2FA55D89">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6D487608">
            <w:pPr>
              <w:widowControl/>
              <w:spacing w:line="360" w:lineRule="exact"/>
              <w:jc w:val="left"/>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 xml:space="preserve">    其中：办公经费</w:t>
            </w:r>
          </w:p>
        </w:tc>
        <w:tc>
          <w:tcPr>
            <w:tcW w:w="2205" w:type="dxa"/>
            <w:gridSpan w:val="2"/>
            <w:tcBorders>
              <w:top w:val="single" w:color="auto" w:sz="4" w:space="0"/>
              <w:left w:val="nil"/>
              <w:bottom w:val="single" w:color="auto" w:sz="4" w:space="0"/>
              <w:right w:val="single" w:color="000000" w:sz="4" w:space="0"/>
            </w:tcBorders>
            <w:noWrap w:val="0"/>
            <w:vAlign w:val="center"/>
          </w:tcPr>
          <w:p w14:paraId="329451DD">
            <w:pPr>
              <w:widowControl/>
              <w:spacing w:line="360" w:lineRule="exact"/>
              <w:jc w:val="cente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lang w:val="en-US" w:eastAsia="zh-CN"/>
              </w:rPr>
              <w:t>4.23</w:t>
            </w:r>
            <w:r>
              <w:rPr>
                <w:rFonts w:hint="eastAsia" w:ascii="仿宋_GB2312" w:hAnsi="仿宋_GB2312" w:eastAsia="仿宋_GB2312" w:cs="仿宋_GB2312"/>
                <w:color w:val="auto"/>
                <w:sz w:val="20"/>
                <w:szCs w:val="20"/>
                <w:highlight w:val="none"/>
              </w:rPr>
              <w:t>　</w:t>
            </w:r>
          </w:p>
        </w:tc>
        <w:tc>
          <w:tcPr>
            <w:tcW w:w="2107" w:type="dxa"/>
            <w:gridSpan w:val="2"/>
            <w:tcBorders>
              <w:top w:val="single" w:color="auto" w:sz="4" w:space="0"/>
              <w:left w:val="nil"/>
              <w:bottom w:val="single" w:color="auto" w:sz="4" w:space="0"/>
              <w:right w:val="single" w:color="000000" w:sz="4" w:space="0"/>
            </w:tcBorders>
            <w:noWrap w:val="0"/>
            <w:vAlign w:val="center"/>
          </w:tcPr>
          <w:p w14:paraId="10C4D4C7">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4.23</w:t>
            </w:r>
          </w:p>
        </w:tc>
        <w:tc>
          <w:tcPr>
            <w:tcW w:w="2079" w:type="dxa"/>
            <w:gridSpan w:val="2"/>
            <w:tcBorders>
              <w:top w:val="single" w:color="auto" w:sz="4" w:space="0"/>
              <w:left w:val="nil"/>
              <w:bottom w:val="single" w:color="auto" w:sz="4" w:space="0"/>
              <w:right w:val="single" w:color="000000" w:sz="4" w:space="0"/>
            </w:tcBorders>
            <w:noWrap w:val="0"/>
            <w:vAlign w:val="center"/>
          </w:tcPr>
          <w:p w14:paraId="15795039">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3.58</w:t>
            </w:r>
          </w:p>
        </w:tc>
      </w:tr>
      <w:tr w14:paraId="5C52227C">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4128C9E3">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2205" w:type="dxa"/>
            <w:gridSpan w:val="2"/>
            <w:tcBorders>
              <w:top w:val="single" w:color="auto" w:sz="4" w:space="0"/>
              <w:left w:val="nil"/>
              <w:bottom w:val="single" w:color="auto" w:sz="4" w:space="0"/>
              <w:right w:val="single" w:color="000000" w:sz="4" w:space="0"/>
            </w:tcBorders>
            <w:noWrap w:val="0"/>
            <w:vAlign w:val="center"/>
          </w:tcPr>
          <w:p w14:paraId="2DADA59A">
            <w:pPr>
              <w:widowControl/>
              <w:spacing w:line="360" w:lineRule="exact"/>
              <w:jc w:val="center"/>
              <w:rPr>
                <w:rFonts w:hint="default" w:ascii="仿宋_GB2312" w:hAnsi="仿宋_GB2312" w:eastAsia="仿宋_GB2312" w:cs="仿宋_GB2312"/>
                <w:color w:val="FF0000"/>
                <w:sz w:val="20"/>
                <w:szCs w:val="20"/>
                <w:highlight w:val="none"/>
                <w:lang w:val="en-US"/>
              </w:rPr>
            </w:pPr>
            <w:r>
              <w:rPr>
                <w:rFonts w:hint="eastAsia" w:ascii="仿宋_GB2312" w:hAnsi="仿宋_GB2312" w:eastAsia="仿宋_GB2312" w:cs="仿宋_GB2312"/>
                <w:color w:val="auto"/>
                <w:sz w:val="20"/>
                <w:szCs w:val="20"/>
                <w:highlight w:val="none"/>
                <w:lang w:val="en-US" w:eastAsia="zh-CN"/>
              </w:rPr>
              <w:t>3.17</w:t>
            </w:r>
          </w:p>
        </w:tc>
        <w:tc>
          <w:tcPr>
            <w:tcW w:w="2107" w:type="dxa"/>
            <w:gridSpan w:val="2"/>
            <w:tcBorders>
              <w:top w:val="single" w:color="auto" w:sz="4" w:space="0"/>
              <w:left w:val="nil"/>
              <w:bottom w:val="single" w:color="auto" w:sz="4" w:space="0"/>
              <w:right w:val="single" w:color="000000" w:sz="4" w:space="0"/>
            </w:tcBorders>
            <w:noWrap w:val="0"/>
            <w:vAlign w:val="center"/>
          </w:tcPr>
          <w:p w14:paraId="7D0974AF">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3.17</w:t>
            </w:r>
          </w:p>
        </w:tc>
        <w:tc>
          <w:tcPr>
            <w:tcW w:w="2079" w:type="dxa"/>
            <w:gridSpan w:val="2"/>
            <w:tcBorders>
              <w:top w:val="single" w:color="auto" w:sz="4" w:space="0"/>
              <w:left w:val="nil"/>
              <w:bottom w:val="single" w:color="auto" w:sz="4" w:space="0"/>
              <w:right w:val="single" w:color="000000" w:sz="4" w:space="0"/>
            </w:tcBorders>
            <w:noWrap w:val="0"/>
            <w:vAlign w:val="center"/>
          </w:tcPr>
          <w:p w14:paraId="0384D074">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2.47</w:t>
            </w:r>
          </w:p>
        </w:tc>
      </w:tr>
      <w:tr w14:paraId="2E8A33B3">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66F9C68D">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2205" w:type="dxa"/>
            <w:gridSpan w:val="2"/>
            <w:tcBorders>
              <w:top w:val="single" w:color="auto" w:sz="4" w:space="0"/>
              <w:left w:val="nil"/>
              <w:bottom w:val="single" w:color="auto" w:sz="4" w:space="0"/>
              <w:right w:val="single" w:color="000000" w:sz="4" w:space="0"/>
            </w:tcBorders>
            <w:noWrap w:val="0"/>
            <w:vAlign w:val="center"/>
          </w:tcPr>
          <w:p w14:paraId="2E719541">
            <w:pPr>
              <w:widowControl/>
              <w:spacing w:line="360" w:lineRule="exact"/>
              <w:jc w:val="center"/>
              <w:rPr>
                <w:rFonts w:hint="eastAsia" w:ascii="仿宋_GB2312" w:hAnsi="仿宋_GB2312" w:eastAsia="仿宋_GB2312" w:cs="仿宋_GB2312"/>
                <w:color w:val="FF0000"/>
                <w:sz w:val="20"/>
                <w:szCs w:val="20"/>
                <w:highlight w:val="none"/>
              </w:rPr>
            </w:pPr>
            <w:r>
              <w:rPr>
                <w:rFonts w:hint="eastAsia" w:ascii="仿宋_GB2312" w:hAnsi="仿宋_GB2312" w:eastAsia="仿宋_GB2312" w:cs="仿宋_GB2312"/>
                <w:color w:val="auto"/>
                <w:sz w:val="20"/>
                <w:szCs w:val="20"/>
                <w:highlight w:val="none"/>
                <w:lang w:val="en-US" w:eastAsia="zh-CN"/>
              </w:rPr>
              <w:t>0</w:t>
            </w:r>
            <w:r>
              <w:rPr>
                <w:rFonts w:hint="eastAsia" w:ascii="仿宋_GB2312" w:hAnsi="仿宋_GB2312" w:eastAsia="仿宋_GB2312" w:cs="仿宋_GB2312"/>
                <w:color w:val="auto"/>
                <w:sz w:val="20"/>
                <w:szCs w:val="20"/>
                <w:highlight w:val="none"/>
              </w:rPr>
              <w:t>　</w:t>
            </w:r>
          </w:p>
        </w:tc>
        <w:tc>
          <w:tcPr>
            <w:tcW w:w="2107" w:type="dxa"/>
            <w:gridSpan w:val="2"/>
            <w:tcBorders>
              <w:top w:val="single" w:color="auto" w:sz="4" w:space="0"/>
              <w:left w:val="nil"/>
              <w:bottom w:val="single" w:color="auto" w:sz="4" w:space="0"/>
              <w:right w:val="single" w:color="000000" w:sz="4" w:space="0"/>
            </w:tcBorders>
            <w:noWrap w:val="0"/>
            <w:vAlign w:val="center"/>
          </w:tcPr>
          <w:p w14:paraId="7EB64C9C">
            <w:pPr>
              <w:widowControl/>
              <w:spacing w:line="360" w:lineRule="exact"/>
              <w:jc w:val="center"/>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0</w:t>
            </w:r>
          </w:p>
        </w:tc>
        <w:tc>
          <w:tcPr>
            <w:tcW w:w="2079" w:type="dxa"/>
            <w:gridSpan w:val="2"/>
            <w:tcBorders>
              <w:top w:val="single" w:color="auto" w:sz="4" w:space="0"/>
              <w:left w:val="nil"/>
              <w:bottom w:val="single" w:color="auto" w:sz="4" w:space="0"/>
              <w:right w:val="single" w:color="000000" w:sz="4" w:space="0"/>
            </w:tcBorders>
            <w:noWrap w:val="0"/>
            <w:vAlign w:val="center"/>
          </w:tcPr>
          <w:p w14:paraId="32479846">
            <w:pPr>
              <w:widowControl/>
              <w:spacing w:line="360" w:lineRule="exact"/>
              <w:jc w:val="center"/>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0</w:t>
            </w:r>
          </w:p>
        </w:tc>
      </w:tr>
      <w:tr w14:paraId="44284E99">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4EA31F53">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2205" w:type="dxa"/>
            <w:gridSpan w:val="2"/>
            <w:tcBorders>
              <w:top w:val="single" w:color="auto" w:sz="4" w:space="0"/>
              <w:left w:val="nil"/>
              <w:bottom w:val="single" w:color="auto" w:sz="4" w:space="0"/>
              <w:right w:val="single" w:color="000000" w:sz="4" w:space="0"/>
            </w:tcBorders>
            <w:noWrap w:val="0"/>
            <w:vAlign w:val="center"/>
          </w:tcPr>
          <w:p w14:paraId="60DC2A5E">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107" w:type="dxa"/>
            <w:gridSpan w:val="2"/>
            <w:tcBorders>
              <w:top w:val="single" w:color="auto" w:sz="4" w:space="0"/>
              <w:left w:val="nil"/>
              <w:bottom w:val="single" w:color="auto" w:sz="4" w:space="0"/>
              <w:right w:val="single" w:color="000000" w:sz="4" w:space="0"/>
            </w:tcBorders>
            <w:noWrap w:val="0"/>
            <w:vAlign w:val="center"/>
          </w:tcPr>
          <w:p w14:paraId="4C0A290B">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305.98</w:t>
            </w:r>
          </w:p>
        </w:tc>
        <w:tc>
          <w:tcPr>
            <w:tcW w:w="2079" w:type="dxa"/>
            <w:gridSpan w:val="2"/>
            <w:tcBorders>
              <w:top w:val="single" w:color="auto" w:sz="4" w:space="0"/>
              <w:left w:val="nil"/>
              <w:bottom w:val="single" w:color="auto" w:sz="4" w:space="0"/>
              <w:right w:val="single" w:color="000000" w:sz="4" w:space="0"/>
            </w:tcBorders>
            <w:noWrap w:val="0"/>
            <w:vAlign w:val="center"/>
          </w:tcPr>
          <w:p w14:paraId="2A0E9C21">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298.20</w:t>
            </w:r>
          </w:p>
        </w:tc>
      </w:tr>
      <w:tr w14:paraId="4846943F">
        <w:tblPrEx>
          <w:tblCellMar>
            <w:top w:w="0" w:type="dxa"/>
            <w:left w:w="108" w:type="dxa"/>
            <w:bottom w:w="0" w:type="dxa"/>
            <w:right w:w="108" w:type="dxa"/>
          </w:tblCellMar>
        </w:tblPrEx>
        <w:trPr>
          <w:trHeight w:val="394" w:hRule="atLeast"/>
          <w:jc w:val="center"/>
        </w:trPr>
        <w:tc>
          <w:tcPr>
            <w:tcW w:w="3067" w:type="dxa"/>
            <w:tcBorders>
              <w:top w:val="nil"/>
              <w:left w:val="single" w:color="auto" w:sz="4" w:space="0"/>
              <w:bottom w:val="single" w:color="auto" w:sz="4" w:space="0"/>
              <w:right w:val="single" w:color="auto" w:sz="4" w:space="0"/>
            </w:tcBorders>
            <w:noWrap w:val="0"/>
            <w:vAlign w:val="center"/>
          </w:tcPr>
          <w:p w14:paraId="4AEF65BE">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部门基本支出预算调整 </w:t>
            </w:r>
          </w:p>
        </w:tc>
        <w:tc>
          <w:tcPr>
            <w:tcW w:w="2205" w:type="dxa"/>
            <w:gridSpan w:val="2"/>
            <w:tcBorders>
              <w:top w:val="single" w:color="auto" w:sz="4" w:space="0"/>
              <w:left w:val="nil"/>
              <w:bottom w:val="single" w:color="auto" w:sz="4" w:space="0"/>
              <w:right w:val="single" w:color="000000" w:sz="4" w:space="0"/>
            </w:tcBorders>
            <w:noWrap w:val="0"/>
            <w:vAlign w:val="center"/>
          </w:tcPr>
          <w:p w14:paraId="24D4AE12">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107" w:type="dxa"/>
            <w:gridSpan w:val="2"/>
            <w:tcBorders>
              <w:top w:val="single" w:color="auto" w:sz="4" w:space="0"/>
              <w:left w:val="nil"/>
              <w:bottom w:val="single" w:color="auto" w:sz="4" w:space="0"/>
              <w:right w:val="single" w:color="000000" w:sz="4" w:space="0"/>
            </w:tcBorders>
            <w:noWrap w:val="0"/>
            <w:vAlign w:val="center"/>
          </w:tcPr>
          <w:p w14:paraId="7499DA59">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290.18</w:t>
            </w:r>
          </w:p>
        </w:tc>
        <w:tc>
          <w:tcPr>
            <w:tcW w:w="2079" w:type="dxa"/>
            <w:gridSpan w:val="2"/>
            <w:tcBorders>
              <w:top w:val="single" w:color="auto" w:sz="4" w:space="0"/>
              <w:left w:val="nil"/>
              <w:bottom w:val="single" w:color="auto" w:sz="4" w:space="0"/>
              <w:right w:val="single" w:color="000000" w:sz="4" w:space="0"/>
            </w:tcBorders>
            <w:noWrap w:val="0"/>
            <w:vAlign w:val="center"/>
          </w:tcPr>
          <w:p w14:paraId="55E91503">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266.88</w:t>
            </w:r>
          </w:p>
        </w:tc>
      </w:tr>
      <w:tr w14:paraId="7C65E734">
        <w:tblPrEx>
          <w:tblCellMar>
            <w:top w:w="0" w:type="dxa"/>
            <w:left w:w="108" w:type="dxa"/>
            <w:bottom w:w="0" w:type="dxa"/>
            <w:right w:w="108" w:type="dxa"/>
          </w:tblCellMar>
        </w:tblPrEx>
        <w:trPr>
          <w:trHeight w:val="611" w:hRule="atLeast"/>
          <w:jc w:val="center"/>
        </w:trPr>
        <w:tc>
          <w:tcPr>
            <w:tcW w:w="3067" w:type="dxa"/>
            <w:vMerge w:val="restart"/>
            <w:tcBorders>
              <w:top w:val="nil"/>
              <w:left w:val="single" w:color="auto" w:sz="4" w:space="0"/>
              <w:bottom w:val="single" w:color="auto" w:sz="4" w:space="0"/>
              <w:right w:val="single" w:color="auto" w:sz="4" w:space="0"/>
            </w:tcBorders>
            <w:noWrap w:val="0"/>
            <w:vAlign w:val="center"/>
          </w:tcPr>
          <w:p w14:paraId="28F8F7F9">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eastAsia" w:ascii="仿宋_GB2312" w:hAnsi="仿宋_GB2312" w:eastAsia="仿宋_GB2312" w:cs="仿宋_GB2312"/>
                <w:sz w:val="20"/>
                <w:szCs w:val="20"/>
                <w:highlight w:val="none"/>
                <w:lang w:val="en-US" w:eastAsia="zh-CN"/>
              </w:rPr>
              <w:t>4</w:t>
            </w:r>
            <w:r>
              <w:rPr>
                <w:rFonts w:hint="eastAsia" w:ascii="仿宋_GB2312" w:hAnsi="仿宋_GB2312" w:eastAsia="仿宋_GB2312" w:cs="仿宋_GB2312"/>
                <w:sz w:val="20"/>
                <w:szCs w:val="20"/>
                <w:highlight w:val="none"/>
              </w:rPr>
              <w:t>年完工项目）</w:t>
            </w:r>
          </w:p>
        </w:tc>
        <w:tc>
          <w:tcPr>
            <w:tcW w:w="1373" w:type="dxa"/>
            <w:tcBorders>
              <w:top w:val="nil"/>
              <w:left w:val="nil"/>
              <w:bottom w:val="single" w:color="auto" w:sz="4" w:space="0"/>
              <w:right w:val="single" w:color="auto" w:sz="4" w:space="0"/>
            </w:tcBorders>
            <w:noWrap w:val="0"/>
            <w:vAlign w:val="center"/>
          </w:tcPr>
          <w:p w14:paraId="23F33F3A">
            <w:pPr>
              <w:widowControl/>
              <w:spacing w:line="24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32" w:type="dxa"/>
            <w:tcBorders>
              <w:top w:val="nil"/>
              <w:left w:val="nil"/>
              <w:bottom w:val="single" w:color="auto" w:sz="4" w:space="0"/>
              <w:right w:val="single" w:color="auto" w:sz="4" w:space="0"/>
            </w:tcBorders>
            <w:noWrap w:val="0"/>
            <w:vAlign w:val="center"/>
          </w:tcPr>
          <w:p w14:paraId="3FCE6301">
            <w:pPr>
              <w:widowControl/>
              <w:spacing w:line="24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911" w:type="dxa"/>
            <w:tcBorders>
              <w:top w:val="nil"/>
              <w:left w:val="nil"/>
              <w:bottom w:val="single" w:color="auto" w:sz="4" w:space="0"/>
              <w:right w:val="single" w:color="auto" w:sz="4" w:space="0"/>
            </w:tcBorders>
            <w:noWrap w:val="0"/>
            <w:vAlign w:val="center"/>
          </w:tcPr>
          <w:p w14:paraId="4501DDC5">
            <w:pPr>
              <w:widowControl/>
              <w:spacing w:line="24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96" w:type="dxa"/>
            <w:tcBorders>
              <w:top w:val="nil"/>
              <w:left w:val="nil"/>
              <w:bottom w:val="single" w:color="auto" w:sz="4" w:space="0"/>
              <w:right w:val="single" w:color="auto" w:sz="4" w:space="0"/>
            </w:tcBorders>
            <w:noWrap w:val="0"/>
            <w:vAlign w:val="center"/>
          </w:tcPr>
          <w:p w14:paraId="52AA68A5">
            <w:pPr>
              <w:widowControl/>
              <w:spacing w:line="24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1094" w:type="dxa"/>
            <w:tcBorders>
              <w:top w:val="nil"/>
              <w:left w:val="nil"/>
              <w:bottom w:val="single" w:color="auto" w:sz="4" w:space="0"/>
              <w:right w:val="single" w:color="auto" w:sz="4" w:space="0"/>
            </w:tcBorders>
            <w:noWrap w:val="0"/>
            <w:vAlign w:val="center"/>
          </w:tcPr>
          <w:p w14:paraId="6090AC1E">
            <w:pPr>
              <w:widowControl/>
              <w:spacing w:line="24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985" w:type="dxa"/>
            <w:tcBorders>
              <w:top w:val="nil"/>
              <w:left w:val="nil"/>
              <w:bottom w:val="single" w:color="auto" w:sz="4" w:space="0"/>
              <w:right w:val="single" w:color="auto" w:sz="4" w:space="0"/>
            </w:tcBorders>
            <w:noWrap w:val="0"/>
            <w:vAlign w:val="center"/>
          </w:tcPr>
          <w:p w14:paraId="724A3A52">
            <w:pPr>
              <w:widowControl/>
              <w:spacing w:line="24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14:paraId="746799F6">
        <w:tblPrEx>
          <w:tblCellMar>
            <w:top w:w="0" w:type="dxa"/>
            <w:left w:w="108" w:type="dxa"/>
            <w:bottom w:w="0" w:type="dxa"/>
            <w:right w:w="108" w:type="dxa"/>
          </w:tblCellMar>
        </w:tblPrEx>
        <w:trPr>
          <w:trHeight w:val="394" w:hRule="atLeast"/>
          <w:jc w:val="center"/>
        </w:trPr>
        <w:tc>
          <w:tcPr>
            <w:tcW w:w="3067" w:type="dxa"/>
            <w:vMerge w:val="continue"/>
            <w:tcBorders>
              <w:top w:val="nil"/>
              <w:left w:val="single" w:color="auto" w:sz="4" w:space="0"/>
              <w:bottom w:val="single" w:color="auto" w:sz="4" w:space="0"/>
              <w:right w:val="single" w:color="auto" w:sz="4" w:space="0"/>
            </w:tcBorders>
            <w:noWrap w:val="0"/>
            <w:vAlign w:val="center"/>
          </w:tcPr>
          <w:p w14:paraId="4E2308BE">
            <w:pPr>
              <w:widowControl/>
              <w:spacing w:line="360" w:lineRule="exact"/>
              <w:jc w:val="left"/>
              <w:rPr>
                <w:rFonts w:hint="eastAsia" w:ascii="仿宋_GB2312" w:hAnsi="仿宋_GB2312" w:eastAsia="仿宋_GB2312" w:cs="仿宋_GB2312"/>
                <w:sz w:val="20"/>
                <w:szCs w:val="20"/>
                <w:highlight w:val="none"/>
              </w:rPr>
            </w:pPr>
          </w:p>
        </w:tc>
        <w:tc>
          <w:tcPr>
            <w:tcW w:w="1373" w:type="dxa"/>
            <w:tcBorders>
              <w:top w:val="nil"/>
              <w:left w:val="nil"/>
              <w:bottom w:val="single" w:color="auto" w:sz="4" w:space="0"/>
              <w:right w:val="single" w:color="auto" w:sz="4" w:space="0"/>
            </w:tcBorders>
            <w:noWrap w:val="0"/>
            <w:vAlign w:val="center"/>
          </w:tcPr>
          <w:p w14:paraId="7D3A2852">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832" w:type="dxa"/>
            <w:tcBorders>
              <w:top w:val="nil"/>
              <w:left w:val="nil"/>
              <w:bottom w:val="single" w:color="auto" w:sz="4" w:space="0"/>
              <w:right w:val="single" w:color="auto" w:sz="4" w:space="0"/>
            </w:tcBorders>
            <w:noWrap w:val="0"/>
            <w:vAlign w:val="center"/>
          </w:tcPr>
          <w:p w14:paraId="7187501F">
            <w:pPr>
              <w:widowControl/>
              <w:spacing w:line="360" w:lineRule="exact"/>
              <w:jc w:val="left"/>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911" w:type="dxa"/>
            <w:tcBorders>
              <w:top w:val="nil"/>
              <w:left w:val="nil"/>
              <w:bottom w:val="single" w:color="auto" w:sz="4" w:space="0"/>
              <w:right w:val="single" w:color="auto" w:sz="4" w:space="0"/>
            </w:tcBorders>
            <w:noWrap w:val="0"/>
            <w:vAlign w:val="center"/>
          </w:tcPr>
          <w:p w14:paraId="70DE69F6">
            <w:pPr>
              <w:widowControl/>
              <w:spacing w:line="360" w:lineRule="exact"/>
              <w:jc w:val="left"/>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96" w:type="dxa"/>
            <w:tcBorders>
              <w:top w:val="nil"/>
              <w:left w:val="nil"/>
              <w:bottom w:val="single" w:color="auto" w:sz="4" w:space="0"/>
              <w:right w:val="single" w:color="auto" w:sz="4" w:space="0"/>
            </w:tcBorders>
            <w:noWrap w:val="0"/>
            <w:vAlign w:val="center"/>
          </w:tcPr>
          <w:p w14:paraId="37781810">
            <w:pPr>
              <w:widowControl/>
              <w:spacing w:line="360" w:lineRule="exact"/>
              <w:jc w:val="left"/>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094" w:type="dxa"/>
            <w:tcBorders>
              <w:top w:val="nil"/>
              <w:left w:val="nil"/>
              <w:bottom w:val="single" w:color="auto" w:sz="4" w:space="0"/>
              <w:right w:val="single" w:color="auto" w:sz="4" w:space="0"/>
            </w:tcBorders>
            <w:noWrap w:val="0"/>
            <w:vAlign w:val="center"/>
          </w:tcPr>
          <w:p w14:paraId="3E3D35E0">
            <w:pPr>
              <w:widowControl/>
              <w:spacing w:line="360" w:lineRule="exact"/>
              <w:jc w:val="left"/>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985" w:type="dxa"/>
            <w:tcBorders>
              <w:top w:val="nil"/>
              <w:left w:val="nil"/>
              <w:bottom w:val="single" w:color="auto" w:sz="4" w:space="0"/>
              <w:right w:val="single" w:color="auto" w:sz="4" w:space="0"/>
            </w:tcBorders>
            <w:noWrap w:val="0"/>
            <w:vAlign w:val="center"/>
          </w:tcPr>
          <w:p w14:paraId="434D17CB">
            <w:pPr>
              <w:widowControl/>
              <w:spacing w:line="360" w:lineRule="exact"/>
              <w:jc w:val="left"/>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r>
      <w:tr w14:paraId="4A1BC6EB">
        <w:tblPrEx>
          <w:tblCellMar>
            <w:top w:w="0" w:type="dxa"/>
            <w:left w:w="108" w:type="dxa"/>
            <w:bottom w:w="0" w:type="dxa"/>
            <w:right w:w="108" w:type="dxa"/>
          </w:tblCellMar>
        </w:tblPrEx>
        <w:trPr>
          <w:trHeight w:val="1622" w:hRule="atLeast"/>
          <w:jc w:val="center"/>
        </w:trPr>
        <w:tc>
          <w:tcPr>
            <w:tcW w:w="3067" w:type="dxa"/>
            <w:tcBorders>
              <w:top w:val="nil"/>
              <w:left w:val="single" w:color="auto" w:sz="4" w:space="0"/>
              <w:bottom w:val="single" w:color="auto" w:sz="4" w:space="0"/>
              <w:right w:val="single" w:color="auto" w:sz="4" w:space="0"/>
            </w:tcBorders>
            <w:noWrap w:val="0"/>
            <w:vAlign w:val="center"/>
          </w:tcPr>
          <w:p w14:paraId="65CE1054">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391" w:type="dxa"/>
            <w:gridSpan w:val="6"/>
            <w:tcBorders>
              <w:top w:val="single" w:color="auto" w:sz="4" w:space="0"/>
              <w:left w:val="nil"/>
              <w:bottom w:val="single" w:color="auto" w:sz="4" w:space="0"/>
              <w:right w:val="single" w:color="000000" w:sz="4" w:space="0"/>
            </w:tcBorders>
            <w:noWrap w:val="0"/>
            <w:vAlign w:val="center"/>
          </w:tcPr>
          <w:p w14:paraId="42502A9D">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lang w:val="en-US" w:eastAsia="zh-CN"/>
              </w:rPr>
              <w:t xml:space="preserve">   严格按单位财务管理制度和内控管理制度，</w:t>
            </w:r>
            <w:r>
              <w:rPr>
                <w:rFonts w:hint="eastAsia" w:ascii="仿宋_GB2312" w:hAnsi="仿宋_GB2312" w:eastAsia="仿宋_GB2312" w:cs="仿宋_GB2312"/>
                <w:color w:val="auto"/>
                <w:sz w:val="20"/>
                <w:szCs w:val="20"/>
                <w:highlight w:val="none"/>
                <w:lang w:val="en-US" w:eastAsia="zh-CN"/>
              </w:rPr>
              <w:t>加强内部控制与管理以及资金支出绩效管理：1、</w:t>
            </w:r>
            <w:r>
              <w:rPr>
                <w:rFonts w:hint="eastAsia" w:ascii="仿宋_GB2312" w:hAnsi="仿宋_GB2312" w:eastAsia="仿宋_GB2312" w:cs="仿宋_GB2312"/>
                <w:color w:val="auto"/>
                <w:sz w:val="20"/>
                <w:szCs w:val="20"/>
                <w:highlight w:val="none"/>
              </w:rPr>
              <w:t>压缩“一般性财政支出”，严控“三公经费”</w:t>
            </w:r>
            <w:r>
              <w:rPr>
                <w:rFonts w:hint="eastAsia" w:ascii="仿宋_GB2312" w:hAnsi="仿宋_GB2312" w:eastAsia="仿宋_GB2312" w:cs="仿宋_GB2312"/>
                <w:color w:val="auto"/>
                <w:sz w:val="20"/>
                <w:szCs w:val="20"/>
                <w:highlight w:val="none"/>
                <w:lang w:eastAsia="zh-CN"/>
              </w:rPr>
              <w:t>。</w:t>
            </w:r>
            <w:r>
              <w:rPr>
                <w:rFonts w:hint="eastAsia" w:ascii="仿宋_GB2312" w:hAnsi="仿宋_GB2312" w:eastAsia="仿宋_GB2312" w:cs="仿宋_GB2312"/>
                <w:bCs/>
                <w:sz w:val="20"/>
                <w:szCs w:val="20"/>
                <w:highlight w:val="none"/>
                <w:lang w:val="en-US" w:eastAsia="zh-CN"/>
              </w:rPr>
              <w:t>2、</w:t>
            </w:r>
            <w:r>
              <w:rPr>
                <w:rFonts w:hint="eastAsia" w:ascii="仿宋_GB2312" w:hAnsi="仿宋_GB2312" w:eastAsia="仿宋_GB2312" w:cs="仿宋_GB2312"/>
                <w:spacing w:val="6"/>
                <w:kern w:val="0"/>
                <w:sz w:val="20"/>
                <w:szCs w:val="20"/>
                <w:lang w:val="en-US" w:eastAsia="zh-CN"/>
              </w:rPr>
              <w:t>费用支出</w:t>
            </w:r>
            <w:r>
              <w:rPr>
                <w:rFonts w:hint="eastAsia" w:ascii="仿宋_GB2312" w:hAnsi="仿宋_GB2312" w:eastAsia="仿宋_GB2312" w:cs="仿宋_GB2312"/>
                <w:bCs/>
                <w:sz w:val="20"/>
                <w:szCs w:val="20"/>
                <w:highlight w:val="none"/>
                <w:lang w:val="en-US" w:eastAsia="zh-CN"/>
              </w:rPr>
              <w:t>按照“先报再审后用”的原则</w:t>
            </w:r>
            <w:r>
              <w:rPr>
                <w:rFonts w:hint="eastAsia" w:ascii="仿宋_GB2312" w:hAnsi="仿宋_GB2312" w:eastAsia="仿宋_GB2312" w:cs="仿宋_GB2312"/>
                <w:color w:val="auto"/>
                <w:sz w:val="20"/>
                <w:szCs w:val="20"/>
                <w:highlight w:val="none"/>
                <w:lang w:eastAsia="zh-CN"/>
              </w:rPr>
              <w:t>。</w:t>
            </w:r>
            <w:r>
              <w:rPr>
                <w:rFonts w:hint="eastAsia" w:ascii="仿宋_GB2312" w:hAnsi="仿宋_GB2312" w:eastAsia="仿宋_GB2312" w:cs="仿宋_GB2312"/>
                <w:color w:val="auto"/>
                <w:sz w:val="20"/>
                <w:szCs w:val="20"/>
                <w:highlight w:val="none"/>
                <w:lang w:val="en-US" w:eastAsia="zh-CN"/>
              </w:rPr>
              <w:t>3、加强事前绩效管理，各项目支出采取先定事，再确定支出规模的方式，确保资金支出绩效。4、定期</w:t>
            </w:r>
            <w:r>
              <w:rPr>
                <w:rFonts w:hint="eastAsia" w:ascii="仿宋_GB2312" w:hAnsi="仿宋_GB2312" w:eastAsia="仿宋_GB2312" w:cs="仿宋_GB2312"/>
                <w:bCs/>
                <w:sz w:val="20"/>
                <w:szCs w:val="20"/>
                <w:highlight w:val="none"/>
                <w:lang w:val="en-US" w:eastAsia="zh-CN"/>
              </w:rPr>
              <w:t>开展资产清查和资产盘点工作，按照厉行节约、物尽其用的原则，资产管理采取统一建帐、统一核算管理，对每件固定资产使用明确保管职责，闲置的资产，由办公室统一调整，合理流动，发挥其效益。</w:t>
            </w:r>
            <w:r>
              <w:rPr>
                <w:rFonts w:hint="eastAsia" w:ascii="仿宋_GB2312" w:hAnsi="仿宋_GB2312" w:eastAsia="仿宋_GB2312" w:cs="仿宋_GB2312"/>
                <w:sz w:val="20"/>
                <w:szCs w:val="20"/>
                <w:highlight w:val="none"/>
              </w:rPr>
              <w:t>　</w:t>
            </w:r>
          </w:p>
        </w:tc>
      </w:tr>
    </w:tbl>
    <w:p w14:paraId="7B656CAE">
      <w:pPr>
        <w:widowControl/>
        <w:spacing w:after="0" w:afterLines="0" w:line="400" w:lineRule="exact"/>
        <w:jc w:val="both"/>
        <w:rPr>
          <w:rFonts w:hint="eastAsia" w:ascii="黑体" w:hAnsi="黑体" w:eastAsia="黑体" w:cs="黑体"/>
          <w:sz w:val="32"/>
          <w:szCs w:val="32"/>
          <w:highlight w:val="none"/>
          <w:lang w:eastAsia="zh-CN"/>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4"/>
          <w:szCs w:val="24"/>
          <w:highlight w:val="none"/>
          <w:lang w:val="en-US" w:eastAsia="zh-CN"/>
        </w:rPr>
        <w:t>范青华</w:t>
      </w:r>
      <w:r>
        <w:rPr>
          <w:rFonts w:hint="default" w:ascii="Times New Roman" w:hAnsi="Times New Roman" w:eastAsia="仿宋_GB2312" w:cs="Times New Roman"/>
          <w:sz w:val="22"/>
          <w:highlight w:val="none"/>
        </w:rPr>
        <w:t xml:space="preserve"> 填报日期：</w:t>
      </w:r>
      <w:r>
        <w:rPr>
          <w:rFonts w:hint="eastAsia" w:ascii="Times New Roman" w:hAnsi="Times New Roman" w:eastAsia="仿宋_GB2312" w:cs="Times New Roman"/>
          <w:sz w:val="22"/>
          <w:highlight w:val="none"/>
          <w:lang w:val="en-US" w:eastAsia="zh-CN"/>
        </w:rPr>
        <w:t xml:space="preserve">2026.6.10  </w:t>
      </w:r>
      <w:r>
        <w:rPr>
          <w:rFonts w:hint="default" w:ascii="Times New Roman" w:hAnsi="Times New Roman" w:eastAsia="仿宋_GB2312" w:cs="Times New Roman"/>
          <w:sz w:val="22"/>
          <w:highlight w:val="none"/>
        </w:rPr>
        <w:t>联系电话：</w:t>
      </w:r>
      <w:r>
        <w:rPr>
          <w:rFonts w:hint="eastAsia" w:ascii="Times New Roman" w:hAnsi="Times New Roman" w:eastAsia="仿宋_GB2312" w:cs="Times New Roman"/>
          <w:sz w:val="22"/>
          <w:highlight w:val="none"/>
          <w:lang w:val="en-US" w:eastAsia="zh-CN"/>
        </w:rPr>
        <w:t>13575050559</w:t>
      </w:r>
      <w:r>
        <w:rPr>
          <w:rFonts w:hint="default" w:ascii="Times New Roman" w:hAnsi="Times New Roman" w:eastAsia="仿宋_GB2312" w:cs="Times New Roman"/>
          <w:sz w:val="22"/>
          <w:highlight w:val="none"/>
        </w:rPr>
        <w:t xml:space="preserve"> </w:t>
      </w:r>
      <w:r>
        <w:rPr>
          <w:rFonts w:hint="eastAsia" w:ascii="Times New Roman" w:hAnsi="Times New Roman" w:eastAsia="仿宋_GB2312" w:cs="Times New Roman"/>
          <w:sz w:val="22"/>
          <w:highlight w:val="none"/>
          <w:lang w:val="en-US" w:eastAsia="zh-CN"/>
        </w:rPr>
        <w:t xml:space="preserve">  </w:t>
      </w:r>
      <w:r>
        <w:rPr>
          <w:rFonts w:hint="default" w:ascii="Times New Roman" w:hAnsi="Times New Roman" w:eastAsia="仿宋_GB2312" w:cs="Times New Roman"/>
          <w:sz w:val="22"/>
          <w:highlight w:val="none"/>
        </w:rPr>
        <w:t>单位负责人：</w:t>
      </w:r>
      <w:r>
        <w:rPr>
          <w:rFonts w:hint="default" w:ascii="Times New Roman" w:hAnsi="Times New Roman" w:eastAsia="仿宋_GB2312" w:cs="Times New Roman"/>
          <w:sz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14:paraId="76E80D37">
      <w:pPr>
        <w:widowControl/>
        <w:spacing w:after="120" w:afterLines="50"/>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11"/>
        <w:tblW w:w="9419" w:type="dxa"/>
        <w:jc w:val="center"/>
        <w:tblLayout w:type="fixed"/>
        <w:tblCellMar>
          <w:top w:w="0" w:type="dxa"/>
          <w:left w:w="108" w:type="dxa"/>
          <w:bottom w:w="0" w:type="dxa"/>
          <w:right w:w="108" w:type="dxa"/>
        </w:tblCellMar>
      </w:tblPr>
      <w:tblGrid>
        <w:gridCol w:w="807"/>
        <w:gridCol w:w="968"/>
        <w:gridCol w:w="1069"/>
        <w:gridCol w:w="1556"/>
        <w:gridCol w:w="1044"/>
        <w:gridCol w:w="939"/>
        <w:gridCol w:w="657"/>
        <w:gridCol w:w="974"/>
        <w:gridCol w:w="1405"/>
      </w:tblGrid>
      <w:tr w14:paraId="1CDBFDE6">
        <w:tblPrEx>
          <w:tblCellMar>
            <w:top w:w="0" w:type="dxa"/>
            <w:left w:w="108" w:type="dxa"/>
            <w:bottom w:w="0" w:type="dxa"/>
            <w:right w:w="108" w:type="dxa"/>
          </w:tblCellMar>
        </w:tblPrEx>
        <w:trPr>
          <w:cantSplit/>
          <w:trHeight w:val="902" w:hRule="atLeast"/>
          <w:jc w:val="center"/>
        </w:trPr>
        <w:tc>
          <w:tcPr>
            <w:tcW w:w="807" w:type="dxa"/>
            <w:tcBorders>
              <w:top w:val="single" w:color="auto" w:sz="4" w:space="0"/>
              <w:left w:val="single" w:color="auto" w:sz="4" w:space="0"/>
              <w:bottom w:val="single" w:color="auto" w:sz="4" w:space="0"/>
              <w:right w:val="single" w:color="auto" w:sz="4" w:space="0"/>
            </w:tcBorders>
            <w:noWrap w:val="0"/>
            <w:vAlign w:val="center"/>
          </w:tcPr>
          <w:p w14:paraId="5F31121B">
            <w:pPr>
              <w:widowControl/>
              <w:spacing w:line="24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eastAsia="zh-CN"/>
              </w:rPr>
              <w:t>市</w:t>
            </w:r>
            <w:r>
              <w:rPr>
                <w:rFonts w:hint="eastAsia" w:ascii="仿宋_GB2312" w:hAnsi="仿宋_GB2312" w:eastAsia="仿宋_GB2312" w:cs="仿宋_GB2312"/>
                <w:color w:val="000000"/>
                <w:sz w:val="24"/>
                <w:szCs w:val="24"/>
                <w:highlight w:val="none"/>
              </w:rPr>
              <w:t>级预算部门名称</w:t>
            </w:r>
          </w:p>
        </w:tc>
        <w:tc>
          <w:tcPr>
            <w:tcW w:w="8612" w:type="dxa"/>
            <w:gridSpan w:val="8"/>
            <w:tcBorders>
              <w:top w:val="single" w:color="auto" w:sz="4" w:space="0"/>
              <w:left w:val="nil"/>
              <w:bottom w:val="single" w:color="auto" w:sz="4" w:space="0"/>
              <w:right w:val="single" w:color="auto" w:sz="4" w:space="0"/>
            </w:tcBorders>
            <w:noWrap w:val="0"/>
            <w:vAlign w:val="center"/>
          </w:tcPr>
          <w:p w14:paraId="3D7BC33C">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岳阳市固体废物处置服务中心</w:t>
            </w:r>
            <w:r>
              <w:rPr>
                <w:rFonts w:hint="eastAsia" w:ascii="仿宋_GB2312" w:hAnsi="仿宋_GB2312" w:eastAsia="仿宋_GB2312" w:cs="仿宋_GB2312"/>
                <w:color w:val="000000"/>
                <w:sz w:val="24"/>
                <w:szCs w:val="24"/>
                <w:highlight w:val="none"/>
              </w:rPr>
              <w:t>　</w:t>
            </w:r>
          </w:p>
        </w:tc>
      </w:tr>
      <w:tr w14:paraId="6B48C08C">
        <w:tblPrEx>
          <w:tblCellMar>
            <w:top w:w="0" w:type="dxa"/>
            <w:left w:w="108" w:type="dxa"/>
            <w:bottom w:w="0" w:type="dxa"/>
            <w:right w:w="108" w:type="dxa"/>
          </w:tblCellMar>
        </w:tblPrEx>
        <w:trPr>
          <w:cantSplit/>
          <w:trHeight w:val="0" w:hRule="atLeast"/>
          <w:jc w:val="center"/>
        </w:trPr>
        <w:tc>
          <w:tcPr>
            <w:tcW w:w="807" w:type="dxa"/>
            <w:vMerge w:val="restart"/>
            <w:tcBorders>
              <w:top w:val="nil"/>
              <w:left w:val="single" w:color="auto" w:sz="4" w:space="0"/>
              <w:right w:val="single" w:color="auto" w:sz="4" w:space="0"/>
            </w:tcBorders>
            <w:noWrap w:val="0"/>
            <w:vAlign w:val="center"/>
          </w:tcPr>
          <w:p w14:paraId="2A652F70">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年度预</w:t>
            </w:r>
          </w:p>
          <w:p w14:paraId="2C6BE82B">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算申请</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（万元）</w:t>
            </w:r>
          </w:p>
        </w:tc>
        <w:tc>
          <w:tcPr>
            <w:tcW w:w="2037" w:type="dxa"/>
            <w:gridSpan w:val="2"/>
            <w:tcBorders>
              <w:top w:val="nil"/>
              <w:left w:val="nil"/>
              <w:bottom w:val="single" w:color="auto" w:sz="4" w:space="0"/>
              <w:right w:val="single" w:color="auto" w:sz="4" w:space="0"/>
            </w:tcBorders>
            <w:noWrap w:val="0"/>
            <w:vAlign w:val="center"/>
          </w:tcPr>
          <w:p w14:paraId="3600F889">
            <w:pPr>
              <w:spacing w:line="240" w:lineRule="exact"/>
              <w:jc w:val="center"/>
              <w:rPr>
                <w:rFonts w:hint="eastAsia" w:ascii="仿宋_GB2312" w:hAnsi="仿宋_GB2312" w:eastAsia="仿宋_GB2312" w:cs="仿宋_GB2312"/>
                <w:sz w:val="24"/>
                <w:szCs w:val="24"/>
                <w:highlight w:val="none"/>
              </w:rPr>
            </w:pPr>
          </w:p>
        </w:tc>
        <w:tc>
          <w:tcPr>
            <w:tcW w:w="1556" w:type="dxa"/>
            <w:tcBorders>
              <w:top w:val="nil"/>
              <w:left w:val="nil"/>
              <w:bottom w:val="single" w:color="auto" w:sz="4" w:space="0"/>
              <w:right w:val="single" w:color="auto" w:sz="4" w:space="0"/>
            </w:tcBorders>
            <w:noWrap w:val="0"/>
            <w:vAlign w:val="center"/>
          </w:tcPr>
          <w:p w14:paraId="18A97EDA">
            <w:pPr>
              <w:spacing w:line="24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年初预算数</w:t>
            </w:r>
          </w:p>
        </w:tc>
        <w:tc>
          <w:tcPr>
            <w:tcW w:w="1044" w:type="dxa"/>
            <w:tcBorders>
              <w:top w:val="nil"/>
              <w:left w:val="nil"/>
              <w:bottom w:val="single" w:color="auto" w:sz="4" w:space="0"/>
              <w:right w:val="single" w:color="auto" w:sz="4" w:space="0"/>
            </w:tcBorders>
            <w:noWrap w:val="0"/>
            <w:vAlign w:val="center"/>
          </w:tcPr>
          <w:p w14:paraId="02E44CC8">
            <w:pPr>
              <w:spacing w:line="24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全年预算数</w:t>
            </w:r>
          </w:p>
        </w:tc>
        <w:tc>
          <w:tcPr>
            <w:tcW w:w="939" w:type="dxa"/>
            <w:tcBorders>
              <w:top w:val="nil"/>
              <w:left w:val="nil"/>
              <w:bottom w:val="single" w:color="auto" w:sz="4" w:space="0"/>
              <w:right w:val="single" w:color="auto" w:sz="4" w:space="0"/>
            </w:tcBorders>
            <w:noWrap w:val="0"/>
            <w:vAlign w:val="center"/>
          </w:tcPr>
          <w:p w14:paraId="00681D87">
            <w:pPr>
              <w:spacing w:line="24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全年执行数</w:t>
            </w:r>
          </w:p>
        </w:tc>
        <w:tc>
          <w:tcPr>
            <w:tcW w:w="657" w:type="dxa"/>
            <w:tcBorders>
              <w:top w:val="nil"/>
              <w:left w:val="nil"/>
              <w:bottom w:val="single" w:color="auto" w:sz="4" w:space="0"/>
              <w:right w:val="single" w:color="auto" w:sz="4" w:space="0"/>
            </w:tcBorders>
            <w:noWrap w:val="0"/>
            <w:vAlign w:val="center"/>
          </w:tcPr>
          <w:p w14:paraId="414AA503">
            <w:pPr>
              <w:spacing w:line="24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分值</w:t>
            </w:r>
          </w:p>
        </w:tc>
        <w:tc>
          <w:tcPr>
            <w:tcW w:w="974" w:type="dxa"/>
            <w:tcBorders>
              <w:top w:val="nil"/>
              <w:left w:val="nil"/>
              <w:bottom w:val="single" w:color="auto" w:sz="4" w:space="0"/>
              <w:right w:val="single" w:color="auto" w:sz="4" w:space="0"/>
            </w:tcBorders>
            <w:noWrap w:val="0"/>
            <w:vAlign w:val="center"/>
          </w:tcPr>
          <w:p w14:paraId="7CEAAA15">
            <w:pPr>
              <w:spacing w:line="24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执行率</w:t>
            </w:r>
          </w:p>
        </w:tc>
        <w:tc>
          <w:tcPr>
            <w:tcW w:w="1405" w:type="dxa"/>
            <w:tcBorders>
              <w:top w:val="nil"/>
              <w:left w:val="nil"/>
              <w:bottom w:val="single" w:color="auto" w:sz="4" w:space="0"/>
              <w:right w:val="single" w:color="auto" w:sz="4" w:space="0"/>
            </w:tcBorders>
            <w:noWrap w:val="0"/>
            <w:vAlign w:val="center"/>
          </w:tcPr>
          <w:p w14:paraId="5F8484F3">
            <w:pPr>
              <w:spacing w:line="24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得分</w:t>
            </w:r>
          </w:p>
        </w:tc>
      </w:tr>
      <w:tr w14:paraId="3F56EACD">
        <w:tblPrEx>
          <w:tblCellMar>
            <w:top w:w="0" w:type="dxa"/>
            <w:left w:w="108" w:type="dxa"/>
            <w:bottom w:w="0" w:type="dxa"/>
            <w:right w:w="108" w:type="dxa"/>
          </w:tblCellMar>
        </w:tblPrEx>
        <w:trPr>
          <w:cantSplit/>
          <w:trHeight w:val="380" w:hRule="atLeast"/>
          <w:jc w:val="center"/>
        </w:trPr>
        <w:tc>
          <w:tcPr>
            <w:tcW w:w="807" w:type="dxa"/>
            <w:vMerge w:val="continue"/>
            <w:tcBorders>
              <w:top w:val="nil"/>
              <w:left w:val="single" w:color="auto" w:sz="4" w:space="0"/>
              <w:right w:val="single" w:color="auto" w:sz="4" w:space="0"/>
            </w:tcBorders>
            <w:noWrap w:val="0"/>
            <w:vAlign w:val="center"/>
          </w:tcPr>
          <w:p w14:paraId="302CF615">
            <w:pPr>
              <w:widowControl/>
              <w:spacing w:line="240" w:lineRule="exact"/>
              <w:jc w:val="center"/>
              <w:rPr>
                <w:rFonts w:hint="eastAsia" w:ascii="仿宋_GB2312" w:hAnsi="仿宋_GB2312" w:eastAsia="仿宋_GB2312" w:cs="仿宋_GB2312"/>
                <w:color w:val="000000"/>
                <w:sz w:val="24"/>
                <w:szCs w:val="24"/>
                <w:highlight w:val="none"/>
              </w:rPr>
            </w:pPr>
          </w:p>
        </w:tc>
        <w:tc>
          <w:tcPr>
            <w:tcW w:w="2037" w:type="dxa"/>
            <w:gridSpan w:val="2"/>
            <w:tcBorders>
              <w:top w:val="nil"/>
              <w:left w:val="nil"/>
              <w:bottom w:val="single" w:color="auto" w:sz="4" w:space="0"/>
              <w:right w:val="single" w:color="auto" w:sz="4" w:space="0"/>
            </w:tcBorders>
            <w:noWrap w:val="0"/>
            <w:vAlign w:val="center"/>
          </w:tcPr>
          <w:p w14:paraId="041B919C">
            <w:pPr>
              <w:spacing w:line="24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年度资金总额</w:t>
            </w:r>
          </w:p>
        </w:tc>
        <w:tc>
          <w:tcPr>
            <w:tcW w:w="1556" w:type="dxa"/>
            <w:tcBorders>
              <w:top w:val="nil"/>
              <w:left w:val="nil"/>
              <w:bottom w:val="single" w:color="auto" w:sz="4" w:space="0"/>
              <w:right w:val="single" w:color="auto" w:sz="4" w:space="0"/>
            </w:tcBorders>
            <w:noWrap w:val="0"/>
            <w:vAlign w:val="center"/>
          </w:tcPr>
          <w:p w14:paraId="6531C097">
            <w:pPr>
              <w:spacing w:line="240" w:lineRule="exact"/>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603.56</w:t>
            </w:r>
          </w:p>
        </w:tc>
        <w:tc>
          <w:tcPr>
            <w:tcW w:w="1044" w:type="dxa"/>
            <w:tcBorders>
              <w:top w:val="nil"/>
              <w:left w:val="nil"/>
              <w:bottom w:val="single" w:color="auto" w:sz="4" w:space="0"/>
              <w:right w:val="single" w:color="auto" w:sz="4" w:space="0"/>
            </w:tcBorders>
            <w:noWrap w:val="0"/>
            <w:vAlign w:val="center"/>
          </w:tcPr>
          <w:p w14:paraId="0B719B82">
            <w:pPr>
              <w:spacing w:line="240" w:lineRule="exact"/>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654.29</w:t>
            </w:r>
          </w:p>
        </w:tc>
        <w:tc>
          <w:tcPr>
            <w:tcW w:w="939" w:type="dxa"/>
            <w:tcBorders>
              <w:top w:val="nil"/>
              <w:left w:val="nil"/>
              <w:bottom w:val="single" w:color="auto" w:sz="4" w:space="0"/>
              <w:right w:val="single" w:color="auto" w:sz="4" w:space="0"/>
            </w:tcBorders>
            <w:noWrap w:val="0"/>
            <w:vAlign w:val="center"/>
          </w:tcPr>
          <w:p w14:paraId="4140B3C5">
            <w:pPr>
              <w:spacing w:line="240" w:lineRule="exact"/>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637.11</w:t>
            </w:r>
          </w:p>
        </w:tc>
        <w:tc>
          <w:tcPr>
            <w:tcW w:w="657" w:type="dxa"/>
            <w:tcBorders>
              <w:top w:val="nil"/>
              <w:left w:val="nil"/>
              <w:bottom w:val="single" w:color="auto" w:sz="4" w:space="0"/>
              <w:right w:val="single" w:color="auto" w:sz="4" w:space="0"/>
            </w:tcBorders>
            <w:noWrap w:val="0"/>
            <w:vAlign w:val="center"/>
          </w:tcPr>
          <w:p w14:paraId="5C09E38A">
            <w:pPr>
              <w:spacing w:line="24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10</w:t>
            </w:r>
          </w:p>
        </w:tc>
        <w:tc>
          <w:tcPr>
            <w:tcW w:w="974" w:type="dxa"/>
            <w:tcBorders>
              <w:top w:val="nil"/>
              <w:left w:val="nil"/>
              <w:bottom w:val="single" w:color="auto" w:sz="4" w:space="0"/>
              <w:right w:val="single" w:color="auto" w:sz="4" w:space="0"/>
            </w:tcBorders>
            <w:noWrap w:val="0"/>
            <w:vAlign w:val="center"/>
          </w:tcPr>
          <w:p w14:paraId="1573144C">
            <w:pPr>
              <w:spacing w:line="240" w:lineRule="exact"/>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97.37%</w:t>
            </w:r>
          </w:p>
        </w:tc>
        <w:tc>
          <w:tcPr>
            <w:tcW w:w="1405" w:type="dxa"/>
            <w:tcBorders>
              <w:top w:val="nil"/>
              <w:left w:val="nil"/>
              <w:bottom w:val="single" w:color="auto" w:sz="4" w:space="0"/>
              <w:right w:val="single" w:color="auto" w:sz="4" w:space="0"/>
            </w:tcBorders>
            <w:noWrap w:val="0"/>
            <w:vAlign w:val="center"/>
          </w:tcPr>
          <w:p w14:paraId="5E7FF635">
            <w:pPr>
              <w:spacing w:line="240" w:lineRule="exact"/>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9.7</w:t>
            </w:r>
          </w:p>
        </w:tc>
      </w:tr>
      <w:tr w14:paraId="786E08C0">
        <w:tblPrEx>
          <w:tblCellMar>
            <w:top w:w="0" w:type="dxa"/>
            <w:left w:w="108" w:type="dxa"/>
            <w:bottom w:w="0" w:type="dxa"/>
            <w:right w:w="108" w:type="dxa"/>
          </w:tblCellMar>
        </w:tblPrEx>
        <w:trPr>
          <w:cantSplit/>
          <w:trHeight w:val="385" w:hRule="atLeast"/>
          <w:jc w:val="center"/>
        </w:trPr>
        <w:tc>
          <w:tcPr>
            <w:tcW w:w="807" w:type="dxa"/>
            <w:vMerge w:val="continue"/>
            <w:tcBorders>
              <w:left w:val="single" w:color="auto" w:sz="4" w:space="0"/>
              <w:right w:val="single" w:color="auto" w:sz="4" w:space="0"/>
            </w:tcBorders>
            <w:noWrap w:val="0"/>
            <w:vAlign w:val="center"/>
          </w:tcPr>
          <w:p w14:paraId="7C2ECCE0">
            <w:pPr>
              <w:widowControl/>
              <w:spacing w:line="240" w:lineRule="exact"/>
              <w:jc w:val="left"/>
              <w:rPr>
                <w:rFonts w:hint="eastAsia" w:ascii="仿宋_GB2312" w:hAnsi="仿宋_GB2312" w:eastAsia="仿宋_GB2312" w:cs="仿宋_GB2312"/>
                <w:color w:val="000000"/>
                <w:sz w:val="24"/>
                <w:szCs w:val="24"/>
                <w:highlight w:val="none"/>
              </w:rPr>
            </w:pPr>
          </w:p>
        </w:tc>
        <w:tc>
          <w:tcPr>
            <w:tcW w:w="4637" w:type="dxa"/>
            <w:gridSpan w:val="4"/>
            <w:tcBorders>
              <w:top w:val="nil"/>
              <w:left w:val="nil"/>
              <w:bottom w:val="single" w:color="auto" w:sz="4" w:space="0"/>
              <w:right w:val="single" w:color="auto" w:sz="4" w:space="0"/>
            </w:tcBorders>
            <w:noWrap w:val="0"/>
            <w:vAlign w:val="center"/>
          </w:tcPr>
          <w:p w14:paraId="4D7CF9C2">
            <w:pPr>
              <w:widowControl/>
              <w:spacing w:line="24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按收入性质分：</w:t>
            </w:r>
          </w:p>
        </w:tc>
        <w:tc>
          <w:tcPr>
            <w:tcW w:w="3975" w:type="dxa"/>
            <w:gridSpan w:val="4"/>
            <w:tcBorders>
              <w:top w:val="nil"/>
              <w:left w:val="nil"/>
              <w:bottom w:val="single" w:color="auto" w:sz="4" w:space="0"/>
              <w:right w:val="single" w:color="auto" w:sz="4" w:space="0"/>
            </w:tcBorders>
            <w:noWrap w:val="0"/>
            <w:vAlign w:val="center"/>
          </w:tcPr>
          <w:p w14:paraId="0C3BC0B3">
            <w:pPr>
              <w:widowControl/>
              <w:spacing w:line="24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按支出性质分：</w:t>
            </w:r>
          </w:p>
        </w:tc>
      </w:tr>
      <w:tr w14:paraId="1ECF94FE">
        <w:tblPrEx>
          <w:tblCellMar>
            <w:top w:w="0" w:type="dxa"/>
            <w:left w:w="108" w:type="dxa"/>
            <w:bottom w:w="0" w:type="dxa"/>
            <w:right w:w="108" w:type="dxa"/>
          </w:tblCellMar>
        </w:tblPrEx>
        <w:trPr>
          <w:cantSplit/>
          <w:trHeight w:val="430" w:hRule="atLeast"/>
          <w:jc w:val="center"/>
        </w:trPr>
        <w:tc>
          <w:tcPr>
            <w:tcW w:w="807" w:type="dxa"/>
            <w:vMerge w:val="continue"/>
            <w:tcBorders>
              <w:left w:val="single" w:color="auto" w:sz="4" w:space="0"/>
              <w:right w:val="single" w:color="auto" w:sz="4" w:space="0"/>
            </w:tcBorders>
            <w:noWrap w:val="0"/>
            <w:vAlign w:val="center"/>
          </w:tcPr>
          <w:p w14:paraId="69BBA07D">
            <w:pPr>
              <w:widowControl/>
              <w:spacing w:line="240" w:lineRule="exact"/>
              <w:jc w:val="left"/>
              <w:rPr>
                <w:rFonts w:hint="eastAsia" w:ascii="仿宋_GB2312" w:hAnsi="仿宋_GB2312" w:eastAsia="仿宋_GB2312" w:cs="仿宋_GB2312"/>
                <w:color w:val="000000"/>
                <w:sz w:val="24"/>
                <w:szCs w:val="24"/>
                <w:highlight w:val="none"/>
              </w:rPr>
            </w:pPr>
          </w:p>
        </w:tc>
        <w:tc>
          <w:tcPr>
            <w:tcW w:w="4637" w:type="dxa"/>
            <w:gridSpan w:val="4"/>
            <w:tcBorders>
              <w:top w:val="nil"/>
              <w:left w:val="nil"/>
              <w:bottom w:val="single" w:color="auto" w:sz="4" w:space="0"/>
              <w:right w:val="single" w:color="auto" w:sz="4" w:space="0"/>
            </w:tcBorders>
            <w:noWrap w:val="0"/>
            <w:vAlign w:val="center"/>
          </w:tcPr>
          <w:p w14:paraId="4BB868CD">
            <w:pPr>
              <w:widowControl/>
              <w:spacing w:line="240" w:lineRule="exact"/>
              <w:jc w:val="left"/>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 xml:space="preserve">  其中：  一般公共预算：</w:t>
            </w:r>
            <w:r>
              <w:rPr>
                <w:rFonts w:hint="eastAsia" w:ascii="仿宋_GB2312" w:hAnsi="仿宋_GB2312" w:eastAsia="仿宋_GB2312" w:cs="仿宋_GB2312"/>
                <w:color w:val="000000"/>
                <w:sz w:val="24"/>
                <w:szCs w:val="24"/>
                <w:highlight w:val="none"/>
                <w:lang w:val="en-US" w:eastAsia="zh-CN"/>
              </w:rPr>
              <w:t>654.29</w:t>
            </w:r>
          </w:p>
        </w:tc>
        <w:tc>
          <w:tcPr>
            <w:tcW w:w="3975" w:type="dxa"/>
            <w:gridSpan w:val="4"/>
            <w:tcBorders>
              <w:top w:val="nil"/>
              <w:left w:val="nil"/>
              <w:bottom w:val="single" w:color="auto" w:sz="4" w:space="0"/>
              <w:right w:val="single" w:color="auto" w:sz="4" w:space="0"/>
            </w:tcBorders>
            <w:noWrap w:val="0"/>
            <w:vAlign w:val="center"/>
          </w:tcPr>
          <w:p w14:paraId="6D03CF6D">
            <w:pPr>
              <w:widowControl/>
              <w:spacing w:line="240" w:lineRule="exact"/>
              <w:jc w:val="left"/>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其中：基本支出：</w:t>
            </w:r>
            <w:r>
              <w:rPr>
                <w:rFonts w:hint="eastAsia" w:ascii="仿宋_GB2312" w:hAnsi="仿宋_GB2312" w:eastAsia="仿宋_GB2312" w:cs="仿宋_GB2312"/>
                <w:color w:val="000000"/>
                <w:sz w:val="24"/>
                <w:szCs w:val="24"/>
                <w:highlight w:val="none"/>
                <w:lang w:val="en-US" w:eastAsia="zh-CN"/>
              </w:rPr>
              <w:t>266.88</w:t>
            </w:r>
          </w:p>
        </w:tc>
      </w:tr>
      <w:tr w14:paraId="1147D315">
        <w:tblPrEx>
          <w:tblCellMar>
            <w:top w:w="0" w:type="dxa"/>
            <w:left w:w="108" w:type="dxa"/>
            <w:bottom w:w="0" w:type="dxa"/>
            <w:right w:w="108" w:type="dxa"/>
          </w:tblCellMar>
        </w:tblPrEx>
        <w:trPr>
          <w:cantSplit/>
          <w:trHeight w:val="415" w:hRule="atLeast"/>
          <w:jc w:val="center"/>
        </w:trPr>
        <w:tc>
          <w:tcPr>
            <w:tcW w:w="807" w:type="dxa"/>
            <w:vMerge w:val="continue"/>
            <w:tcBorders>
              <w:left w:val="single" w:color="auto" w:sz="4" w:space="0"/>
              <w:right w:val="single" w:color="auto" w:sz="4" w:space="0"/>
            </w:tcBorders>
            <w:noWrap w:val="0"/>
            <w:vAlign w:val="center"/>
          </w:tcPr>
          <w:p w14:paraId="08CA2798">
            <w:pPr>
              <w:widowControl/>
              <w:spacing w:line="240" w:lineRule="exact"/>
              <w:jc w:val="left"/>
              <w:rPr>
                <w:rFonts w:hint="eastAsia" w:ascii="仿宋_GB2312" w:hAnsi="仿宋_GB2312" w:eastAsia="仿宋_GB2312" w:cs="仿宋_GB2312"/>
                <w:color w:val="000000"/>
                <w:sz w:val="24"/>
                <w:szCs w:val="24"/>
                <w:highlight w:val="none"/>
              </w:rPr>
            </w:pPr>
          </w:p>
        </w:tc>
        <w:tc>
          <w:tcPr>
            <w:tcW w:w="4637" w:type="dxa"/>
            <w:gridSpan w:val="4"/>
            <w:tcBorders>
              <w:top w:val="nil"/>
              <w:left w:val="nil"/>
              <w:bottom w:val="single" w:color="auto" w:sz="4" w:space="0"/>
              <w:right w:val="single" w:color="auto" w:sz="4" w:space="0"/>
            </w:tcBorders>
            <w:noWrap w:val="0"/>
            <w:vAlign w:val="center"/>
          </w:tcPr>
          <w:p w14:paraId="0B169461">
            <w:pPr>
              <w:widowControl/>
              <w:spacing w:line="240" w:lineRule="exact"/>
              <w:ind w:firstLine="960" w:firstLineChars="4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政府性基金拨款：</w:t>
            </w:r>
          </w:p>
        </w:tc>
        <w:tc>
          <w:tcPr>
            <w:tcW w:w="3975" w:type="dxa"/>
            <w:gridSpan w:val="4"/>
            <w:tcBorders>
              <w:top w:val="nil"/>
              <w:left w:val="nil"/>
              <w:bottom w:val="single" w:color="auto" w:sz="4" w:space="0"/>
              <w:right w:val="single" w:color="auto" w:sz="4" w:space="0"/>
            </w:tcBorders>
            <w:noWrap w:val="0"/>
            <w:vAlign w:val="center"/>
          </w:tcPr>
          <w:p w14:paraId="2BAF4D04">
            <w:pPr>
              <w:widowControl/>
              <w:spacing w:line="240" w:lineRule="exact"/>
              <w:ind w:firstLine="720" w:firstLineChars="300"/>
              <w:jc w:val="left"/>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项目支出：</w:t>
            </w:r>
            <w:r>
              <w:rPr>
                <w:rFonts w:hint="eastAsia" w:ascii="仿宋_GB2312" w:hAnsi="仿宋_GB2312" w:eastAsia="仿宋_GB2312" w:cs="仿宋_GB2312"/>
                <w:color w:val="000000"/>
                <w:sz w:val="24"/>
                <w:szCs w:val="24"/>
                <w:highlight w:val="none"/>
                <w:lang w:val="en-US" w:eastAsia="zh-CN"/>
              </w:rPr>
              <w:t>370.23</w:t>
            </w:r>
          </w:p>
        </w:tc>
      </w:tr>
      <w:tr w14:paraId="4E49440D">
        <w:tblPrEx>
          <w:tblCellMar>
            <w:top w:w="0" w:type="dxa"/>
            <w:left w:w="108" w:type="dxa"/>
            <w:bottom w:w="0" w:type="dxa"/>
            <w:right w:w="108" w:type="dxa"/>
          </w:tblCellMar>
        </w:tblPrEx>
        <w:trPr>
          <w:cantSplit/>
          <w:trHeight w:val="262" w:hRule="atLeast"/>
          <w:jc w:val="center"/>
        </w:trPr>
        <w:tc>
          <w:tcPr>
            <w:tcW w:w="807" w:type="dxa"/>
            <w:vMerge w:val="continue"/>
            <w:tcBorders>
              <w:left w:val="single" w:color="auto" w:sz="4" w:space="0"/>
              <w:right w:val="single" w:color="auto" w:sz="4" w:space="0"/>
            </w:tcBorders>
            <w:noWrap w:val="0"/>
            <w:vAlign w:val="center"/>
          </w:tcPr>
          <w:p w14:paraId="3882F539">
            <w:pPr>
              <w:widowControl/>
              <w:spacing w:line="240" w:lineRule="exact"/>
              <w:jc w:val="left"/>
              <w:rPr>
                <w:rFonts w:hint="eastAsia" w:ascii="仿宋_GB2312" w:hAnsi="仿宋_GB2312" w:eastAsia="仿宋_GB2312" w:cs="仿宋_GB2312"/>
                <w:color w:val="000000"/>
                <w:sz w:val="24"/>
                <w:szCs w:val="24"/>
                <w:highlight w:val="none"/>
              </w:rPr>
            </w:pPr>
          </w:p>
        </w:tc>
        <w:tc>
          <w:tcPr>
            <w:tcW w:w="4637" w:type="dxa"/>
            <w:gridSpan w:val="4"/>
            <w:tcBorders>
              <w:top w:val="nil"/>
              <w:left w:val="nil"/>
              <w:bottom w:val="single" w:color="auto" w:sz="4" w:space="0"/>
              <w:right w:val="single" w:color="auto" w:sz="4" w:space="0"/>
            </w:tcBorders>
            <w:noWrap w:val="0"/>
            <w:vAlign w:val="center"/>
          </w:tcPr>
          <w:p w14:paraId="24CDE63D">
            <w:pPr>
              <w:widowControl/>
              <w:spacing w:line="24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纳入专户管理的非税收入拨款：</w:t>
            </w:r>
          </w:p>
        </w:tc>
        <w:tc>
          <w:tcPr>
            <w:tcW w:w="3975" w:type="dxa"/>
            <w:gridSpan w:val="4"/>
            <w:tcBorders>
              <w:top w:val="nil"/>
              <w:left w:val="nil"/>
              <w:bottom w:val="single" w:color="auto" w:sz="4" w:space="0"/>
              <w:right w:val="single" w:color="auto" w:sz="4" w:space="0"/>
            </w:tcBorders>
            <w:noWrap w:val="0"/>
            <w:vAlign w:val="center"/>
          </w:tcPr>
          <w:p w14:paraId="0411D29F">
            <w:pPr>
              <w:widowControl/>
              <w:spacing w:line="240" w:lineRule="exact"/>
              <w:jc w:val="left"/>
              <w:rPr>
                <w:rFonts w:hint="eastAsia" w:ascii="仿宋_GB2312" w:hAnsi="仿宋_GB2312" w:eastAsia="仿宋_GB2312" w:cs="仿宋_GB2312"/>
                <w:color w:val="000000"/>
                <w:sz w:val="24"/>
                <w:szCs w:val="24"/>
                <w:highlight w:val="none"/>
              </w:rPr>
            </w:pPr>
          </w:p>
        </w:tc>
      </w:tr>
      <w:tr w14:paraId="6D0BB54E">
        <w:tblPrEx>
          <w:tblCellMar>
            <w:top w:w="0" w:type="dxa"/>
            <w:left w:w="108" w:type="dxa"/>
            <w:bottom w:w="0" w:type="dxa"/>
            <w:right w:w="108" w:type="dxa"/>
          </w:tblCellMar>
        </w:tblPrEx>
        <w:trPr>
          <w:cantSplit/>
          <w:trHeight w:val="366" w:hRule="atLeast"/>
          <w:jc w:val="center"/>
        </w:trPr>
        <w:tc>
          <w:tcPr>
            <w:tcW w:w="807" w:type="dxa"/>
            <w:vMerge w:val="continue"/>
            <w:tcBorders>
              <w:left w:val="single" w:color="auto" w:sz="4" w:space="0"/>
              <w:bottom w:val="single" w:color="000000" w:sz="4" w:space="0"/>
              <w:right w:val="single" w:color="auto" w:sz="4" w:space="0"/>
            </w:tcBorders>
            <w:noWrap w:val="0"/>
            <w:vAlign w:val="center"/>
          </w:tcPr>
          <w:p w14:paraId="58AA2271">
            <w:pPr>
              <w:widowControl/>
              <w:spacing w:line="240" w:lineRule="exact"/>
              <w:jc w:val="left"/>
              <w:rPr>
                <w:rFonts w:hint="eastAsia" w:ascii="仿宋_GB2312" w:hAnsi="仿宋_GB2312" w:eastAsia="仿宋_GB2312" w:cs="仿宋_GB2312"/>
                <w:color w:val="000000"/>
                <w:sz w:val="24"/>
                <w:szCs w:val="24"/>
                <w:highlight w:val="none"/>
              </w:rPr>
            </w:pPr>
          </w:p>
        </w:tc>
        <w:tc>
          <w:tcPr>
            <w:tcW w:w="4637" w:type="dxa"/>
            <w:gridSpan w:val="4"/>
            <w:tcBorders>
              <w:top w:val="nil"/>
              <w:left w:val="nil"/>
              <w:bottom w:val="single" w:color="auto" w:sz="4" w:space="0"/>
              <w:right w:val="single" w:color="auto" w:sz="4" w:space="0"/>
            </w:tcBorders>
            <w:noWrap w:val="0"/>
            <w:vAlign w:val="center"/>
          </w:tcPr>
          <w:p w14:paraId="23D8A02D">
            <w:pPr>
              <w:widowControl/>
              <w:spacing w:line="240" w:lineRule="exact"/>
              <w:ind w:firstLine="1680" w:firstLineChars="700"/>
              <w:jc w:val="left"/>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其他资金：</w:t>
            </w:r>
          </w:p>
        </w:tc>
        <w:tc>
          <w:tcPr>
            <w:tcW w:w="3975" w:type="dxa"/>
            <w:gridSpan w:val="4"/>
            <w:tcBorders>
              <w:top w:val="nil"/>
              <w:left w:val="nil"/>
              <w:bottom w:val="single" w:color="auto" w:sz="4" w:space="0"/>
              <w:right w:val="single" w:color="auto" w:sz="4" w:space="0"/>
            </w:tcBorders>
            <w:noWrap w:val="0"/>
            <w:vAlign w:val="center"/>
          </w:tcPr>
          <w:p w14:paraId="44019429">
            <w:pPr>
              <w:widowControl/>
              <w:spacing w:line="240" w:lineRule="exact"/>
              <w:jc w:val="left"/>
              <w:rPr>
                <w:rFonts w:hint="eastAsia" w:ascii="仿宋_GB2312" w:hAnsi="仿宋_GB2312" w:eastAsia="仿宋_GB2312" w:cs="仿宋_GB2312"/>
                <w:color w:val="000000"/>
                <w:sz w:val="24"/>
                <w:szCs w:val="24"/>
                <w:highlight w:val="none"/>
              </w:rPr>
            </w:pPr>
          </w:p>
        </w:tc>
      </w:tr>
      <w:tr w14:paraId="149A4672">
        <w:tblPrEx>
          <w:tblCellMar>
            <w:top w:w="0" w:type="dxa"/>
            <w:left w:w="108" w:type="dxa"/>
            <w:bottom w:w="0" w:type="dxa"/>
            <w:right w:w="108" w:type="dxa"/>
          </w:tblCellMar>
        </w:tblPrEx>
        <w:trPr>
          <w:cantSplit/>
          <w:trHeight w:val="368" w:hRule="atLeast"/>
          <w:jc w:val="center"/>
        </w:trPr>
        <w:tc>
          <w:tcPr>
            <w:tcW w:w="807" w:type="dxa"/>
            <w:vMerge w:val="restart"/>
            <w:tcBorders>
              <w:top w:val="nil"/>
              <w:left w:val="single" w:color="auto" w:sz="4" w:space="0"/>
              <w:bottom w:val="single" w:color="000000" w:sz="4" w:space="0"/>
              <w:right w:val="single" w:color="auto" w:sz="4" w:space="0"/>
            </w:tcBorders>
            <w:noWrap w:val="0"/>
            <w:vAlign w:val="center"/>
          </w:tcPr>
          <w:p w14:paraId="16A58C41">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年度总体目标</w:t>
            </w:r>
          </w:p>
        </w:tc>
        <w:tc>
          <w:tcPr>
            <w:tcW w:w="4637" w:type="dxa"/>
            <w:gridSpan w:val="4"/>
            <w:tcBorders>
              <w:top w:val="single" w:color="auto" w:sz="4" w:space="0"/>
              <w:left w:val="nil"/>
              <w:bottom w:val="single" w:color="auto" w:sz="4" w:space="0"/>
              <w:right w:val="single" w:color="000000" w:sz="4" w:space="0"/>
            </w:tcBorders>
            <w:noWrap w:val="0"/>
            <w:vAlign w:val="center"/>
          </w:tcPr>
          <w:p w14:paraId="725C3366">
            <w:pPr>
              <w:widowControl/>
              <w:spacing w:line="240" w:lineRule="exact"/>
              <w:ind w:left="0" w:leftChars="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预期目标</w:t>
            </w:r>
          </w:p>
        </w:tc>
        <w:tc>
          <w:tcPr>
            <w:tcW w:w="3975" w:type="dxa"/>
            <w:gridSpan w:val="4"/>
            <w:tcBorders>
              <w:top w:val="single" w:color="auto" w:sz="4" w:space="0"/>
              <w:left w:val="nil"/>
              <w:bottom w:val="single" w:color="auto" w:sz="4" w:space="0"/>
              <w:right w:val="single" w:color="auto" w:sz="4" w:space="0"/>
            </w:tcBorders>
            <w:noWrap w:val="0"/>
            <w:vAlign w:val="center"/>
          </w:tcPr>
          <w:p w14:paraId="25C4D0EB">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实际完成情况　</w:t>
            </w:r>
          </w:p>
        </w:tc>
      </w:tr>
      <w:tr w14:paraId="48F92B63">
        <w:tblPrEx>
          <w:tblCellMar>
            <w:top w:w="0" w:type="dxa"/>
            <w:left w:w="108" w:type="dxa"/>
            <w:bottom w:w="0" w:type="dxa"/>
            <w:right w:w="108" w:type="dxa"/>
          </w:tblCellMar>
        </w:tblPrEx>
        <w:trPr>
          <w:cantSplit/>
          <w:trHeight w:val="4977" w:hRule="atLeast"/>
          <w:jc w:val="center"/>
        </w:trPr>
        <w:tc>
          <w:tcPr>
            <w:tcW w:w="807" w:type="dxa"/>
            <w:vMerge w:val="continue"/>
            <w:tcBorders>
              <w:top w:val="nil"/>
              <w:left w:val="single" w:color="auto" w:sz="4" w:space="0"/>
              <w:bottom w:val="single" w:color="auto" w:sz="4" w:space="0"/>
              <w:right w:val="single" w:color="auto" w:sz="4" w:space="0"/>
            </w:tcBorders>
            <w:noWrap w:val="0"/>
            <w:vAlign w:val="center"/>
          </w:tcPr>
          <w:p w14:paraId="18AC3848">
            <w:pPr>
              <w:widowControl/>
              <w:spacing w:line="240" w:lineRule="exact"/>
              <w:jc w:val="left"/>
              <w:rPr>
                <w:rFonts w:hint="eastAsia" w:ascii="仿宋_GB2312" w:hAnsi="仿宋_GB2312" w:eastAsia="仿宋_GB2312" w:cs="仿宋_GB2312"/>
                <w:color w:val="000000"/>
                <w:sz w:val="24"/>
                <w:szCs w:val="24"/>
                <w:highlight w:val="none"/>
              </w:rPr>
            </w:pPr>
          </w:p>
        </w:tc>
        <w:tc>
          <w:tcPr>
            <w:tcW w:w="4637" w:type="dxa"/>
            <w:gridSpan w:val="4"/>
            <w:tcBorders>
              <w:top w:val="single" w:color="auto" w:sz="4" w:space="0"/>
              <w:left w:val="nil"/>
              <w:bottom w:val="single" w:color="auto" w:sz="4" w:space="0"/>
              <w:right w:val="single" w:color="000000" w:sz="4" w:space="0"/>
            </w:tcBorders>
            <w:noWrap w:val="0"/>
            <w:vAlign w:val="center"/>
          </w:tcPr>
          <w:p w14:paraId="293AAF8E">
            <w:pPr>
              <w:widowControl/>
              <w:spacing w:line="240" w:lineRule="exact"/>
              <w:ind w:left="0" w:leftChars="0"/>
              <w:jc w:val="left"/>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2025年，我中心深入贯彻落实习近平生态文明思想，在市委、市政府及城管局党组的坚强领导下，紧密围绕“1376”总体规划和“六大城管”核心理念，以队伍建设为基础，以责任担当为驱动，全力推动我市垃圾分类末端处置工作健康、稳定、可持续发展。</w:t>
            </w:r>
          </w:p>
          <w:p w14:paraId="4E4F6DC2">
            <w:pPr>
              <w:pStyle w:val="7"/>
              <w:keepNext w:val="0"/>
              <w:keepLines w:val="0"/>
              <w:pageBreakBefore w:val="0"/>
              <w:widowControl w:val="0"/>
              <w:kinsoku/>
              <w:wordWrap/>
              <w:overflowPunct/>
              <w:topLinePunct w:val="0"/>
              <w:autoSpaceDE/>
              <w:autoSpaceDN/>
              <w:bidi w:val="0"/>
              <w:adjustRightInd/>
              <w:snapToGrid/>
              <w:spacing w:line="240" w:lineRule="exact"/>
              <w:ind w:leftChars="0"/>
              <w:textAlignment w:val="auto"/>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sz w:val="24"/>
                <w:szCs w:val="24"/>
                <w:highlight w:val="none"/>
              </w:rPr>
              <w:t>1</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bidi="ar-SA"/>
              </w:rPr>
              <w:t>静脉产业园区作为全市固废末端处置的核心枢纽，全面承担生活垃圾、厨余垃圾及医疗废物的安全处置任务。园区设施持续保持安全稳定运行，有效化解了垃圾围城、地沟油回流餐桌、医疗卫生防疫防控等多重潜在风险，为维护岳阳宜居宜业宜游的人居环境提供了坚实保障，初步实现了生活垃圾“无害化、减量化、资源化”的治理目标。</w:t>
            </w:r>
          </w:p>
          <w:p w14:paraId="7C4E7FF3">
            <w:pPr>
              <w:widowControl/>
              <w:spacing w:line="240" w:lineRule="exact"/>
              <w:ind w:left="0" w:leftChars="0"/>
              <w:jc w:val="left"/>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lang w:val="en-US" w:eastAsia="zh-CN" w:bidi="ar-SA"/>
              </w:rPr>
              <w:t>2.完善静脉产业园区基础设施建设，加强静脉产业园区已有项目的监督管理工作，做好安全与维稳工作。</w:t>
            </w:r>
          </w:p>
          <w:p w14:paraId="5101F281">
            <w:pPr>
              <w:widowControl/>
              <w:spacing w:line="240" w:lineRule="exact"/>
              <w:ind w:left="0" w:leftChars="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val="en-US" w:eastAsia="zh-CN" w:bidi="ar-SA"/>
              </w:rPr>
              <w:t>3、罗家坳无害化处理场日常运营、生态环境持续规范管理，飞灰填埋、场内渗滤液处理及生态环境监测。</w:t>
            </w:r>
          </w:p>
        </w:tc>
        <w:tc>
          <w:tcPr>
            <w:tcW w:w="3975" w:type="dxa"/>
            <w:gridSpan w:val="4"/>
            <w:tcBorders>
              <w:top w:val="single" w:color="auto" w:sz="4" w:space="0"/>
              <w:left w:val="nil"/>
              <w:bottom w:val="single" w:color="auto" w:sz="4" w:space="0"/>
              <w:right w:val="single" w:color="auto" w:sz="4" w:space="0"/>
            </w:tcBorders>
            <w:noWrap w:val="0"/>
            <w:vAlign w:val="center"/>
          </w:tcPr>
          <w:p w14:paraId="31BA8A62">
            <w:pPr>
              <w:widowControl/>
              <w:spacing w:line="240" w:lineRule="exact"/>
              <w:ind w:left="0" w:leftChars="0"/>
              <w:jc w:val="left"/>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1、市生活垃圾焚烧发电项目2025年统筹范围内共处置生活垃圾近52万吨项目年核算收益约1.4亿元。累计处置厨余垃圾约5.17万吨、地沟油约171.56吨，日收运处理厨余垃圾稳定在150吨。安全处置医疗废物约3800吨。</w:t>
            </w:r>
          </w:p>
          <w:p w14:paraId="29A2D8BA">
            <w:pPr>
              <w:widowControl/>
              <w:spacing w:line="240" w:lineRule="exact"/>
              <w:ind w:left="0" w:leftChars="0"/>
              <w:jc w:val="left"/>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投入资金对园区污水泵站与管道、进出场道路、雨水管网进行维修维护，强化园区道路卫生、绿化管理，对园区进出车辆车速过快、运输车辆跑冒滴漏、违规行驶等问题开展整治行动，确保企业排污安全及车辆出行安全，提升园区整体形象。</w:t>
            </w:r>
          </w:p>
          <w:p w14:paraId="4873C022">
            <w:pPr>
              <w:widowControl/>
              <w:spacing w:line="240" w:lineRule="exact"/>
              <w:ind w:left="0" w:leftChars="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3、通过对场内生态环境的各项监测与检测、持续生态环境问题整改等措施，规范填埋场管理，确保飞灰安全有序填埋。截至目前，累计</w:t>
            </w:r>
            <w:r>
              <w:rPr>
                <w:rFonts w:hint="default" w:ascii="仿宋_GB2312" w:hAnsi="仿宋_GB2312" w:eastAsia="仿宋_GB2312" w:cs="仿宋_GB2312"/>
                <w:color w:val="000000"/>
                <w:sz w:val="24"/>
                <w:szCs w:val="24"/>
                <w:highlight w:val="none"/>
                <w:lang w:val="en-US" w:eastAsia="zh-CN"/>
              </w:rPr>
              <w:t>填埋飞灰</w:t>
            </w:r>
            <w:r>
              <w:rPr>
                <w:rFonts w:hint="eastAsia" w:ascii="仿宋_GB2312" w:hAnsi="仿宋_GB2312" w:eastAsia="仿宋_GB2312" w:cs="仿宋_GB2312"/>
                <w:color w:val="000000"/>
                <w:sz w:val="24"/>
                <w:szCs w:val="24"/>
                <w:highlight w:val="none"/>
                <w:lang w:val="en-US" w:eastAsia="zh-CN"/>
              </w:rPr>
              <w:t>超8</w:t>
            </w:r>
            <w:r>
              <w:rPr>
                <w:rFonts w:hint="default" w:ascii="仿宋_GB2312" w:hAnsi="仿宋_GB2312" w:eastAsia="仿宋_GB2312" w:cs="仿宋_GB2312"/>
                <w:color w:val="000000"/>
                <w:sz w:val="24"/>
                <w:szCs w:val="24"/>
                <w:highlight w:val="none"/>
                <w:lang w:val="en-US" w:eastAsia="zh-CN"/>
              </w:rPr>
              <w:t>万吨，剩余库容约</w:t>
            </w:r>
            <w:r>
              <w:rPr>
                <w:rFonts w:hint="eastAsia" w:ascii="仿宋_GB2312" w:hAnsi="仿宋_GB2312" w:eastAsia="仿宋_GB2312" w:cs="仿宋_GB2312"/>
                <w:color w:val="000000"/>
                <w:sz w:val="24"/>
                <w:szCs w:val="24"/>
                <w:highlight w:val="none"/>
                <w:lang w:val="en-US" w:eastAsia="zh-CN"/>
              </w:rPr>
              <w:t>36</w:t>
            </w:r>
            <w:r>
              <w:rPr>
                <w:rFonts w:hint="default" w:ascii="仿宋_GB2312" w:hAnsi="仿宋_GB2312" w:eastAsia="仿宋_GB2312" w:cs="仿宋_GB2312"/>
                <w:color w:val="000000"/>
                <w:sz w:val="24"/>
                <w:szCs w:val="24"/>
                <w:highlight w:val="none"/>
                <w:lang w:val="en-US" w:eastAsia="zh-CN"/>
              </w:rPr>
              <w:t>万m³</w:t>
            </w:r>
            <w:r>
              <w:rPr>
                <w:rFonts w:hint="eastAsia" w:ascii="仿宋_GB2312" w:hAnsi="仿宋_GB2312" w:eastAsia="仿宋_GB2312" w:cs="仿宋_GB2312"/>
                <w:color w:val="000000"/>
                <w:sz w:val="24"/>
                <w:szCs w:val="24"/>
                <w:highlight w:val="none"/>
                <w:lang w:val="en-US" w:eastAsia="zh-CN"/>
              </w:rPr>
              <w:t>。</w:t>
            </w:r>
          </w:p>
        </w:tc>
      </w:tr>
      <w:tr w14:paraId="4B4E9327">
        <w:tblPrEx>
          <w:tblCellMar>
            <w:top w:w="0" w:type="dxa"/>
            <w:left w:w="108" w:type="dxa"/>
            <w:bottom w:w="0" w:type="dxa"/>
            <w:right w:w="108" w:type="dxa"/>
          </w:tblCellMar>
        </w:tblPrEx>
        <w:trPr>
          <w:cantSplit/>
          <w:trHeight w:val="698" w:hRule="atLeast"/>
          <w:jc w:val="center"/>
        </w:trPr>
        <w:tc>
          <w:tcPr>
            <w:tcW w:w="807" w:type="dxa"/>
            <w:vMerge w:val="restart"/>
            <w:tcBorders>
              <w:top w:val="single" w:color="auto" w:sz="4" w:space="0"/>
              <w:left w:val="single" w:color="auto" w:sz="4" w:space="0"/>
              <w:bottom w:val="single" w:color="auto" w:sz="4" w:space="0"/>
              <w:right w:val="single" w:color="auto" w:sz="4" w:space="0"/>
            </w:tcBorders>
            <w:noWrap w:val="0"/>
            <w:vAlign w:val="center"/>
          </w:tcPr>
          <w:p w14:paraId="1934E4B2">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绩</w:t>
            </w:r>
          </w:p>
          <w:p w14:paraId="7194C5D8">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效</w:t>
            </w:r>
          </w:p>
          <w:p w14:paraId="7FBF9C26">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指</w:t>
            </w:r>
          </w:p>
          <w:p w14:paraId="5E345054">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标</w:t>
            </w:r>
          </w:p>
          <w:p w14:paraId="3B6746B4">
            <w:pPr>
              <w:widowControl/>
              <w:spacing w:line="240" w:lineRule="exact"/>
              <w:jc w:val="center"/>
              <w:rPr>
                <w:rFonts w:hint="eastAsia" w:ascii="仿宋_GB2312" w:hAnsi="仿宋_GB2312" w:eastAsia="仿宋_GB2312" w:cs="仿宋_GB2312"/>
                <w:color w:val="000000"/>
                <w:sz w:val="24"/>
                <w:szCs w:val="24"/>
                <w:highlight w:val="none"/>
              </w:rPr>
            </w:pPr>
          </w:p>
        </w:tc>
        <w:tc>
          <w:tcPr>
            <w:tcW w:w="968" w:type="dxa"/>
            <w:tcBorders>
              <w:top w:val="single" w:color="auto" w:sz="4" w:space="0"/>
              <w:left w:val="single" w:color="auto" w:sz="4" w:space="0"/>
              <w:bottom w:val="single" w:color="auto" w:sz="4" w:space="0"/>
              <w:right w:val="single" w:color="auto" w:sz="4" w:space="0"/>
            </w:tcBorders>
            <w:noWrap w:val="0"/>
            <w:vAlign w:val="center"/>
          </w:tcPr>
          <w:p w14:paraId="34BDFD65">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一级指标</w:t>
            </w:r>
          </w:p>
        </w:tc>
        <w:tc>
          <w:tcPr>
            <w:tcW w:w="1069" w:type="dxa"/>
            <w:tcBorders>
              <w:top w:val="single" w:color="auto" w:sz="4" w:space="0"/>
              <w:left w:val="single" w:color="auto" w:sz="4" w:space="0"/>
              <w:bottom w:val="single" w:color="auto" w:sz="4" w:space="0"/>
              <w:right w:val="single" w:color="auto" w:sz="4" w:space="0"/>
            </w:tcBorders>
            <w:noWrap w:val="0"/>
            <w:vAlign w:val="center"/>
          </w:tcPr>
          <w:p w14:paraId="22BF3926">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二级指标</w:t>
            </w:r>
          </w:p>
        </w:tc>
        <w:tc>
          <w:tcPr>
            <w:tcW w:w="1556" w:type="dxa"/>
            <w:tcBorders>
              <w:top w:val="single" w:color="auto" w:sz="4" w:space="0"/>
              <w:left w:val="single" w:color="auto" w:sz="4" w:space="0"/>
              <w:bottom w:val="single" w:color="auto" w:sz="4" w:space="0"/>
              <w:right w:val="single" w:color="auto" w:sz="4" w:space="0"/>
            </w:tcBorders>
            <w:noWrap w:val="0"/>
            <w:vAlign w:val="center"/>
          </w:tcPr>
          <w:p w14:paraId="20A8DDD1">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三级指标</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33FF169C">
            <w:pPr>
              <w:widowControl/>
              <w:spacing w:line="240" w:lineRule="exact"/>
              <w:jc w:val="both"/>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年度指标值</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0819B5EB">
            <w:pPr>
              <w:widowControl/>
              <w:spacing w:line="240" w:lineRule="exac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实际完成值</w:t>
            </w:r>
          </w:p>
        </w:tc>
        <w:tc>
          <w:tcPr>
            <w:tcW w:w="657" w:type="dxa"/>
            <w:tcBorders>
              <w:top w:val="single" w:color="auto" w:sz="4" w:space="0"/>
              <w:left w:val="single" w:color="auto" w:sz="4" w:space="0"/>
              <w:bottom w:val="single" w:color="auto" w:sz="4" w:space="0"/>
              <w:right w:val="single" w:color="auto" w:sz="4" w:space="0"/>
            </w:tcBorders>
            <w:noWrap w:val="0"/>
            <w:vAlign w:val="center"/>
          </w:tcPr>
          <w:p w14:paraId="747E2CCB">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分值</w:t>
            </w:r>
          </w:p>
        </w:tc>
        <w:tc>
          <w:tcPr>
            <w:tcW w:w="974" w:type="dxa"/>
            <w:tcBorders>
              <w:top w:val="single" w:color="auto" w:sz="4" w:space="0"/>
              <w:left w:val="single" w:color="auto" w:sz="4" w:space="0"/>
              <w:bottom w:val="single" w:color="auto" w:sz="4" w:space="0"/>
              <w:right w:val="single" w:color="auto" w:sz="4" w:space="0"/>
            </w:tcBorders>
            <w:noWrap w:val="0"/>
            <w:vAlign w:val="center"/>
          </w:tcPr>
          <w:p w14:paraId="59231144">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得分</w:t>
            </w:r>
          </w:p>
        </w:tc>
        <w:tc>
          <w:tcPr>
            <w:tcW w:w="1405" w:type="dxa"/>
            <w:tcBorders>
              <w:top w:val="single" w:color="auto" w:sz="4" w:space="0"/>
              <w:left w:val="single" w:color="auto" w:sz="4" w:space="0"/>
              <w:bottom w:val="single" w:color="auto" w:sz="4" w:space="0"/>
              <w:right w:val="single" w:color="auto" w:sz="4" w:space="0"/>
            </w:tcBorders>
            <w:noWrap w:val="0"/>
            <w:vAlign w:val="center"/>
          </w:tcPr>
          <w:p w14:paraId="47BDC5FB">
            <w:pPr>
              <w:widowControl/>
              <w:spacing w:line="240" w:lineRule="exact"/>
              <w:jc w:val="both"/>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偏差原因分析及改进措施</w:t>
            </w:r>
          </w:p>
        </w:tc>
      </w:tr>
      <w:tr w14:paraId="09857403">
        <w:tblPrEx>
          <w:tblCellMar>
            <w:top w:w="0" w:type="dxa"/>
            <w:left w:w="108" w:type="dxa"/>
            <w:bottom w:w="0" w:type="dxa"/>
            <w:right w:w="108" w:type="dxa"/>
          </w:tblCellMar>
        </w:tblPrEx>
        <w:trPr>
          <w:cantSplit/>
          <w:trHeight w:val="0" w:hRule="atLeast"/>
          <w:jc w:val="center"/>
        </w:trPr>
        <w:tc>
          <w:tcPr>
            <w:tcW w:w="807" w:type="dxa"/>
            <w:vMerge w:val="continue"/>
            <w:tcBorders>
              <w:top w:val="single" w:color="auto" w:sz="4" w:space="0"/>
              <w:left w:val="single" w:color="auto" w:sz="4" w:space="0"/>
              <w:right w:val="single" w:color="auto" w:sz="4" w:space="0"/>
            </w:tcBorders>
            <w:noWrap w:val="0"/>
            <w:vAlign w:val="center"/>
          </w:tcPr>
          <w:p w14:paraId="2D5B21AF">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restart"/>
            <w:tcBorders>
              <w:top w:val="single" w:color="auto" w:sz="4" w:space="0"/>
              <w:left w:val="single" w:color="auto" w:sz="4" w:space="0"/>
              <w:bottom w:val="single" w:color="auto" w:sz="4" w:space="0"/>
              <w:right w:val="single" w:color="auto" w:sz="4" w:space="0"/>
            </w:tcBorders>
            <w:noWrap w:val="0"/>
            <w:vAlign w:val="center"/>
          </w:tcPr>
          <w:p w14:paraId="1557E3A7">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产出指标</w:t>
            </w:r>
          </w:p>
          <w:p w14:paraId="366CECC7">
            <w:pPr>
              <w:widowControl/>
              <w:spacing w:line="240" w:lineRule="exact"/>
              <w:jc w:val="center"/>
              <w:rPr>
                <w:rFonts w:hint="eastAsia" w:ascii="仿宋_GB2312" w:hAnsi="仿宋_GB2312" w:eastAsia="仿宋_GB2312" w:cs="仿宋_GB2312"/>
                <w:color w:val="000000"/>
                <w:sz w:val="24"/>
                <w:szCs w:val="24"/>
                <w:highlight w:val="none"/>
              </w:rPr>
            </w:pPr>
          </w:p>
          <w:p w14:paraId="73FE44E7">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(50分)</w:t>
            </w:r>
          </w:p>
        </w:tc>
        <w:tc>
          <w:tcPr>
            <w:tcW w:w="1069" w:type="dxa"/>
            <w:vMerge w:val="restart"/>
            <w:tcBorders>
              <w:top w:val="single" w:color="auto" w:sz="4" w:space="0"/>
              <w:left w:val="nil"/>
              <w:right w:val="single" w:color="auto" w:sz="4" w:space="0"/>
            </w:tcBorders>
            <w:noWrap w:val="0"/>
            <w:vAlign w:val="center"/>
          </w:tcPr>
          <w:p w14:paraId="035BA3DB">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数量指标</w:t>
            </w:r>
          </w:p>
        </w:tc>
        <w:tc>
          <w:tcPr>
            <w:tcW w:w="1556" w:type="dxa"/>
            <w:tcBorders>
              <w:top w:val="single" w:color="auto" w:sz="4" w:space="0"/>
              <w:left w:val="nil"/>
              <w:bottom w:val="single" w:color="auto" w:sz="4" w:space="0"/>
              <w:right w:val="single" w:color="auto" w:sz="4" w:space="0"/>
            </w:tcBorders>
            <w:noWrap w:val="0"/>
            <w:vAlign w:val="center"/>
          </w:tcPr>
          <w:p w14:paraId="466F9290">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市餐厨垃圾资源化利用和无害化处理</w:t>
            </w:r>
          </w:p>
        </w:tc>
        <w:tc>
          <w:tcPr>
            <w:tcW w:w="1044" w:type="dxa"/>
            <w:tcBorders>
              <w:top w:val="single" w:color="auto" w:sz="4" w:space="0"/>
              <w:left w:val="nil"/>
              <w:bottom w:val="single" w:color="auto" w:sz="4" w:space="0"/>
              <w:right w:val="single" w:color="auto" w:sz="4" w:space="0"/>
            </w:tcBorders>
            <w:noWrap w:val="0"/>
            <w:vAlign w:val="center"/>
          </w:tcPr>
          <w:p w14:paraId="25E820C5">
            <w:pPr>
              <w:widowControl/>
              <w:spacing w:line="240" w:lineRule="exact"/>
              <w:jc w:val="left"/>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3.17</w:t>
            </w:r>
            <w:r>
              <w:rPr>
                <w:rFonts w:hint="eastAsia" w:ascii="仿宋_GB2312" w:hAnsi="仿宋_GB2312" w:eastAsia="仿宋_GB2312" w:cs="仿宋_GB2312"/>
                <w:color w:val="000000" w:themeColor="text1"/>
                <w:sz w:val="22"/>
                <w:szCs w:val="22"/>
                <w:highlight w:val="none"/>
                <w14:textFill>
                  <w14:solidFill>
                    <w14:schemeClr w14:val="tx1"/>
                  </w14:solidFill>
                </w14:textFill>
              </w:rPr>
              <w:t>万吨</w:t>
            </w:r>
          </w:p>
        </w:tc>
        <w:tc>
          <w:tcPr>
            <w:tcW w:w="939" w:type="dxa"/>
            <w:tcBorders>
              <w:top w:val="single" w:color="auto" w:sz="4" w:space="0"/>
              <w:left w:val="nil"/>
              <w:bottom w:val="single" w:color="auto" w:sz="4" w:space="0"/>
              <w:right w:val="single" w:color="auto" w:sz="4" w:space="0"/>
            </w:tcBorders>
            <w:noWrap w:val="0"/>
            <w:vAlign w:val="center"/>
          </w:tcPr>
          <w:p w14:paraId="6CFD04E6">
            <w:pPr>
              <w:widowControl/>
              <w:spacing w:line="240" w:lineRule="exact"/>
              <w:jc w:val="left"/>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3.77</w:t>
            </w:r>
            <w:r>
              <w:rPr>
                <w:rFonts w:hint="eastAsia" w:ascii="仿宋_GB2312" w:hAnsi="仿宋_GB2312" w:eastAsia="仿宋_GB2312" w:cs="仿宋_GB2312"/>
                <w:color w:val="000000" w:themeColor="text1"/>
                <w:sz w:val="22"/>
                <w:szCs w:val="22"/>
                <w:highlight w:val="none"/>
                <w14:textFill>
                  <w14:solidFill>
                    <w14:schemeClr w14:val="tx1"/>
                  </w14:solidFill>
                </w14:textFill>
              </w:rPr>
              <w:t>万吨</w:t>
            </w:r>
          </w:p>
        </w:tc>
        <w:tc>
          <w:tcPr>
            <w:tcW w:w="657" w:type="dxa"/>
            <w:tcBorders>
              <w:top w:val="single" w:color="auto" w:sz="4" w:space="0"/>
              <w:left w:val="nil"/>
              <w:bottom w:val="single" w:color="auto" w:sz="4" w:space="0"/>
              <w:right w:val="single" w:color="auto" w:sz="4" w:space="0"/>
            </w:tcBorders>
            <w:noWrap w:val="0"/>
            <w:vAlign w:val="center"/>
          </w:tcPr>
          <w:p w14:paraId="3B0E894D">
            <w:pPr>
              <w:widowControl/>
              <w:spacing w:line="240" w:lineRule="exact"/>
              <w:jc w:val="center"/>
              <w:rPr>
                <w:rFonts w:hint="default" w:ascii="仿宋_GB2312" w:hAnsi="仿宋_GB2312" w:eastAsia="仿宋_GB2312" w:cs="仿宋_GB2312"/>
                <w:color w:val="000000" w:themeColor="text1"/>
                <w:sz w:val="22"/>
                <w:szCs w:val="2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10</w:t>
            </w:r>
          </w:p>
        </w:tc>
        <w:tc>
          <w:tcPr>
            <w:tcW w:w="974" w:type="dxa"/>
            <w:tcBorders>
              <w:top w:val="single" w:color="auto" w:sz="4" w:space="0"/>
              <w:left w:val="nil"/>
              <w:bottom w:val="single" w:color="auto" w:sz="4" w:space="0"/>
              <w:right w:val="single" w:color="auto" w:sz="4" w:space="0"/>
            </w:tcBorders>
            <w:noWrap w:val="0"/>
            <w:vAlign w:val="center"/>
          </w:tcPr>
          <w:p w14:paraId="4BC439AA">
            <w:pPr>
              <w:widowControl/>
              <w:spacing w:line="240" w:lineRule="exact"/>
              <w:jc w:val="left"/>
              <w:rPr>
                <w:rFonts w:hint="default" w:ascii="仿宋_GB2312" w:hAnsi="仿宋_GB2312" w:eastAsia="仿宋_GB2312" w:cs="仿宋_GB2312"/>
                <w:color w:val="000000" w:themeColor="text1"/>
                <w:sz w:val="22"/>
                <w:szCs w:val="2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highlight w:val="none"/>
                <w14:textFill>
                  <w14:solidFill>
                    <w14:schemeClr w14:val="tx1"/>
                  </w14:solidFill>
                </w14:textFill>
              </w:rPr>
              <w:t>　</w:t>
            </w: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10</w:t>
            </w:r>
          </w:p>
        </w:tc>
        <w:tc>
          <w:tcPr>
            <w:tcW w:w="1405" w:type="dxa"/>
            <w:tcBorders>
              <w:top w:val="single" w:color="auto" w:sz="4" w:space="0"/>
              <w:left w:val="nil"/>
              <w:bottom w:val="single" w:color="auto" w:sz="4" w:space="0"/>
              <w:right w:val="single" w:color="auto" w:sz="4" w:space="0"/>
            </w:tcBorders>
            <w:noWrap w:val="0"/>
            <w:vAlign w:val="center"/>
          </w:tcPr>
          <w:p w14:paraId="306EFBEC">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73E01CBA">
        <w:tblPrEx>
          <w:tblCellMar>
            <w:top w:w="0" w:type="dxa"/>
            <w:left w:w="108" w:type="dxa"/>
            <w:bottom w:w="0" w:type="dxa"/>
            <w:right w:w="108" w:type="dxa"/>
          </w:tblCellMar>
        </w:tblPrEx>
        <w:trPr>
          <w:cantSplit/>
          <w:trHeight w:val="898" w:hRule="atLeast"/>
          <w:jc w:val="center"/>
        </w:trPr>
        <w:tc>
          <w:tcPr>
            <w:tcW w:w="807" w:type="dxa"/>
            <w:vMerge w:val="continue"/>
            <w:tcBorders>
              <w:left w:val="single" w:color="auto" w:sz="4" w:space="0"/>
              <w:right w:val="single" w:color="auto" w:sz="4" w:space="0"/>
            </w:tcBorders>
            <w:noWrap w:val="0"/>
            <w:vAlign w:val="center"/>
          </w:tcPr>
          <w:p w14:paraId="09D35529">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vAlign w:val="center"/>
          </w:tcPr>
          <w:p w14:paraId="67E4EF76">
            <w:pPr>
              <w:spacing w:line="240" w:lineRule="exact"/>
              <w:jc w:val="left"/>
              <w:rPr>
                <w:rFonts w:hint="eastAsia" w:ascii="仿宋_GB2312" w:hAnsi="仿宋_GB2312" w:eastAsia="仿宋_GB2312" w:cs="仿宋_GB2312"/>
                <w:color w:val="000000"/>
                <w:sz w:val="24"/>
                <w:szCs w:val="24"/>
                <w:highlight w:val="none"/>
              </w:rPr>
            </w:pPr>
          </w:p>
        </w:tc>
        <w:tc>
          <w:tcPr>
            <w:tcW w:w="1069" w:type="dxa"/>
            <w:vMerge w:val="continue"/>
            <w:tcBorders>
              <w:left w:val="nil"/>
              <w:right w:val="single" w:color="auto" w:sz="4" w:space="0"/>
            </w:tcBorders>
            <w:noWrap w:val="0"/>
            <w:vAlign w:val="center"/>
          </w:tcPr>
          <w:p w14:paraId="0E1FFD37">
            <w:pPr>
              <w:spacing w:line="240" w:lineRule="exact"/>
              <w:jc w:val="center"/>
              <w:rPr>
                <w:rFonts w:hint="eastAsia" w:ascii="仿宋_GB2312" w:hAnsi="仿宋_GB2312" w:eastAsia="仿宋_GB2312" w:cs="仿宋_GB2312"/>
                <w:color w:val="000000"/>
                <w:sz w:val="24"/>
                <w:szCs w:val="24"/>
                <w:highlight w:val="none"/>
              </w:rPr>
            </w:pPr>
          </w:p>
        </w:tc>
        <w:tc>
          <w:tcPr>
            <w:tcW w:w="1556" w:type="dxa"/>
            <w:tcBorders>
              <w:top w:val="nil"/>
              <w:left w:val="nil"/>
              <w:bottom w:val="single" w:color="auto" w:sz="4" w:space="0"/>
              <w:right w:val="single" w:color="auto" w:sz="4" w:space="0"/>
            </w:tcBorders>
            <w:noWrap w:val="0"/>
            <w:vAlign w:val="center"/>
          </w:tcPr>
          <w:p w14:paraId="0AE8C9CA">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罗家坳无害化处理场渗滤液处理系统运营服务</w:t>
            </w:r>
          </w:p>
        </w:tc>
        <w:tc>
          <w:tcPr>
            <w:tcW w:w="1044" w:type="dxa"/>
            <w:tcBorders>
              <w:top w:val="nil"/>
              <w:left w:val="nil"/>
              <w:bottom w:val="single" w:color="auto" w:sz="4" w:space="0"/>
              <w:right w:val="single" w:color="auto" w:sz="4" w:space="0"/>
            </w:tcBorders>
            <w:noWrap w:val="0"/>
            <w:vAlign w:val="center"/>
          </w:tcPr>
          <w:p w14:paraId="569C1A84">
            <w:pPr>
              <w:widowControl/>
              <w:spacing w:line="240" w:lineRule="exact"/>
              <w:jc w:val="left"/>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9050</w:t>
            </w:r>
            <w:r>
              <w:rPr>
                <w:rFonts w:hint="eastAsia" w:ascii="仿宋_GB2312" w:hAnsi="仿宋_GB2312" w:eastAsia="仿宋_GB2312" w:cs="仿宋_GB2312"/>
                <w:color w:val="000000" w:themeColor="text1"/>
                <w:sz w:val="22"/>
                <w:szCs w:val="22"/>
                <w:highlight w:val="none"/>
                <w14:textFill>
                  <w14:solidFill>
                    <w14:schemeClr w14:val="tx1"/>
                  </w14:solidFill>
                </w14:textFill>
              </w:rPr>
              <w:t>吨</w:t>
            </w:r>
          </w:p>
        </w:tc>
        <w:tc>
          <w:tcPr>
            <w:tcW w:w="939" w:type="dxa"/>
            <w:tcBorders>
              <w:top w:val="nil"/>
              <w:left w:val="nil"/>
              <w:bottom w:val="single" w:color="auto" w:sz="4" w:space="0"/>
              <w:right w:val="single" w:color="auto" w:sz="4" w:space="0"/>
            </w:tcBorders>
            <w:noWrap w:val="0"/>
            <w:vAlign w:val="center"/>
          </w:tcPr>
          <w:p w14:paraId="3EEBF772">
            <w:pPr>
              <w:widowControl/>
              <w:spacing w:line="240" w:lineRule="exact"/>
              <w:jc w:val="left"/>
              <w:rPr>
                <w:rFonts w:hint="eastAsia" w:ascii="仿宋_GB2312" w:hAnsi="仿宋_GB2312" w:eastAsia="仿宋_GB2312" w:cs="仿宋_GB2312"/>
                <w:color w:val="000000" w:themeColor="text1"/>
                <w:sz w:val="22"/>
                <w:szCs w:val="22"/>
                <w:highlight w:val="none"/>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9050</w:t>
            </w:r>
            <w:r>
              <w:rPr>
                <w:rFonts w:hint="eastAsia" w:ascii="仿宋_GB2312" w:hAnsi="仿宋_GB2312" w:eastAsia="仿宋_GB2312" w:cs="仿宋_GB2312"/>
                <w:color w:val="000000" w:themeColor="text1"/>
                <w:sz w:val="22"/>
                <w:szCs w:val="22"/>
                <w:highlight w:val="none"/>
                <w14:textFill>
                  <w14:solidFill>
                    <w14:schemeClr w14:val="tx1"/>
                  </w14:solidFill>
                </w14:textFill>
              </w:rPr>
              <w:t>吨</w:t>
            </w:r>
          </w:p>
        </w:tc>
        <w:tc>
          <w:tcPr>
            <w:tcW w:w="657" w:type="dxa"/>
            <w:tcBorders>
              <w:top w:val="nil"/>
              <w:left w:val="nil"/>
              <w:bottom w:val="single" w:color="auto" w:sz="4" w:space="0"/>
              <w:right w:val="single" w:color="auto" w:sz="4" w:space="0"/>
            </w:tcBorders>
            <w:noWrap w:val="0"/>
            <w:vAlign w:val="center"/>
          </w:tcPr>
          <w:p w14:paraId="746F1160">
            <w:pPr>
              <w:widowControl/>
              <w:spacing w:line="240" w:lineRule="exact"/>
              <w:jc w:val="center"/>
              <w:rPr>
                <w:rFonts w:hint="default" w:ascii="仿宋_GB2312" w:hAnsi="仿宋_GB2312" w:eastAsia="仿宋_GB2312" w:cs="仿宋_GB2312"/>
                <w:color w:val="000000" w:themeColor="text1"/>
                <w:sz w:val="22"/>
                <w:szCs w:val="2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10</w:t>
            </w:r>
          </w:p>
        </w:tc>
        <w:tc>
          <w:tcPr>
            <w:tcW w:w="974" w:type="dxa"/>
            <w:tcBorders>
              <w:top w:val="nil"/>
              <w:left w:val="nil"/>
              <w:bottom w:val="single" w:color="auto" w:sz="4" w:space="0"/>
              <w:right w:val="single" w:color="auto" w:sz="4" w:space="0"/>
            </w:tcBorders>
            <w:noWrap w:val="0"/>
            <w:vAlign w:val="center"/>
          </w:tcPr>
          <w:p w14:paraId="68BB553C">
            <w:pPr>
              <w:widowControl/>
              <w:spacing w:line="240" w:lineRule="exact"/>
              <w:jc w:val="left"/>
              <w:rPr>
                <w:rFonts w:hint="default" w:ascii="仿宋_GB2312" w:hAnsi="仿宋_GB2312" w:eastAsia="仿宋_GB2312" w:cs="仿宋_GB2312"/>
                <w:color w:val="000000" w:themeColor="text1"/>
                <w:sz w:val="22"/>
                <w:szCs w:val="2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highlight w:val="none"/>
                <w14:textFill>
                  <w14:solidFill>
                    <w14:schemeClr w14:val="tx1"/>
                  </w14:solidFill>
                </w14:textFill>
              </w:rPr>
              <w:t>　</w:t>
            </w:r>
            <w:r>
              <w:rPr>
                <w:rFonts w:hint="eastAsia" w:ascii="仿宋_GB2312" w:hAnsi="仿宋_GB2312" w:eastAsia="仿宋_GB2312" w:cs="仿宋_GB2312"/>
                <w:color w:val="000000" w:themeColor="text1"/>
                <w:sz w:val="22"/>
                <w:szCs w:val="22"/>
                <w:highlight w:val="none"/>
                <w:lang w:val="en-US" w:eastAsia="zh-CN"/>
                <w14:textFill>
                  <w14:solidFill>
                    <w14:schemeClr w14:val="tx1"/>
                  </w14:solidFill>
                </w14:textFill>
              </w:rPr>
              <w:t>10</w:t>
            </w:r>
          </w:p>
        </w:tc>
        <w:tc>
          <w:tcPr>
            <w:tcW w:w="1405" w:type="dxa"/>
            <w:tcBorders>
              <w:top w:val="nil"/>
              <w:left w:val="nil"/>
              <w:bottom w:val="single" w:color="auto" w:sz="4" w:space="0"/>
              <w:right w:val="single" w:color="auto" w:sz="4" w:space="0"/>
            </w:tcBorders>
            <w:noWrap w:val="0"/>
            <w:vAlign w:val="center"/>
          </w:tcPr>
          <w:p w14:paraId="5BC91C01">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1BFDA9F5">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3467CA8D">
            <w:pPr>
              <w:widowControl/>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vAlign w:val="center"/>
          </w:tcPr>
          <w:p w14:paraId="19D64240">
            <w:pPr>
              <w:widowControl/>
              <w:spacing w:line="240" w:lineRule="exact"/>
              <w:jc w:val="left"/>
              <w:rPr>
                <w:rFonts w:hint="eastAsia" w:ascii="仿宋_GB2312" w:hAnsi="仿宋_GB2312" w:eastAsia="仿宋_GB2312" w:cs="仿宋_GB2312"/>
                <w:color w:val="000000"/>
                <w:sz w:val="24"/>
                <w:szCs w:val="24"/>
                <w:highlight w:val="none"/>
              </w:rPr>
            </w:pPr>
          </w:p>
        </w:tc>
        <w:tc>
          <w:tcPr>
            <w:tcW w:w="1069" w:type="dxa"/>
            <w:vMerge w:val="continue"/>
            <w:tcBorders>
              <w:left w:val="nil"/>
              <w:bottom w:val="single" w:color="auto" w:sz="4" w:space="0"/>
              <w:right w:val="single" w:color="auto" w:sz="4" w:space="0"/>
            </w:tcBorders>
            <w:noWrap w:val="0"/>
            <w:vAlign w:val="center"/>
          </w:tcPr>
          <w:p w14:paraId="168964AE">
            <w:pPr>
              <w:widowControl/>
              <w:spacing w:line="240" w:lineRule="exact"/>
              <w:jc w:val="left"/>
              <w:rPr>
                <w:rFonts w:hint="eastAsia" w:ascii="仿宋_GB2312" w:hAnsi="仿宋_GB2312" w:eastAsia="仿宋_GB2312" w:cs="仿宋_GB2312"/>
                <w:color w:val="000000"/>
                <w:sz w:val="24"/>
                <w:szCs w:val="24"/>
                <w:highlight w:val="none"/>
              </w:rPr>
            </w:pPr>
          </w:p>
        </w:tc>
        <w:tc>
          <w:tcPr>
            <w:tcW w:w="1556" w:type="dxa"/>
            <w:tcBorders>
              <w:top w:val="nil"/>
              <w:left w:val="nil"/>
              <w:bottom w:val="single" w:color="auto" w:sz="4" w:space="0"/>
              <w:right w:val="single" w:color="auto" w:sz="4" w:space="0"/>
            </w:tcBorders>
            <w:noWrap w:val="0"/>
            <w:vAlign w:val="center"/>
          </w:tcPr>
          <w:p w14:paraId="5DD49BF4">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岳阳市静脉产业园生活垃圾焚烧发电项目</w:t>
            </w:r>
          </w:p>
        </w:tc>
        <w:tc>
          <w:tcPr>
            <w:tcW w:w="1044" w:type="dxa"/>
            <w:tcBorders>
              <w:top w:val="nil"/>
              <w:left w:val="nil"/>
              <w:bottom w:val="single" w:color="auto" w:sz="4" w:space="0"/>
              <w:right w:val="single" w:color="auto" w:sz="4" w:space="0"/>
            </w:tcBorders>
            <w:noWrap w:val="0"/>
            <w:vAlign w:val="center"/>
          </w:tcPr>
          <w:p w14:paraId="14DDF9F5">
            <w:pPr>
              <w:widowControl/>
              <w:spacing w:line="240" w:lineRule="exact"/>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52</w:t>
            </w:r>
            <w:r>
              <w:rPr>
                <w:rFonts w:hint="eastAsia" w:ascii="仿宋_GB2312" w:hAnsi="仿宋_GB2312" w:eastAsia="仿宋_GB2312" w:cs="仿宋_GB2312"/>
                <w:color w:val="000000" w:themeColor="text1"/>
                <w:sz w:val="24"/>
                <w:szCs w:val="24"/>
                <w:highlight w:val="none"/>
                <w14:textFill>
                  <w14:solidFill>
                    <w14:schemeClr w14:val="tx1"/>
                  </w14:solidFill>
                </w14:textFill>
              </w:rPr>
              <w:t>万吨</w:t>
            </w:r>
          </w:p>
        </w:tc>
        <w:tc>
          <w:tcPr>
            <w:tcW w:w="939" w:type="dxa"/>
            <w:tcBorders>
              <w:top w:val="nil"/>
              <w:left w:val="nil"/>
              <w:bottom w:val="single" w:color="auto" w:sz="4" w:space="0"/>
              <w:right w:val="single" w:color="auto" w:sz="4" w:space="0"/>
            </w:tcBorders>
            <w:noWrap w:val="0"/>
            <w:vAlign w:val="center"/>
          </w:tcPr>
          <w:p w14:paraId="56937A9B">
            <w:pPr>
              <w:widowControl/>
              <w:spacing w:line="240" w:lineRule="exact"/>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52万</w:t>
            </w:r>
            <w:r>
              <w:rPr>
                <w:rFonts w:hint="eastAsia" w:ascii="仿宋_GB2312" w:hAnsi="仿宋_GB2312" w:eastAsia="仿宋_GB2312" w:cs="仿宋_GB2312"/>
                <w:color w:val="000000" w:themeColor="text1"/>
                <w:sz w:val="24"/>
                <w:szCs w:val="24"/>
                <w:highlight w:val="none"/>
                <w14:textFill>
                  <w14:solidFill>
                    <w14:schemeClr w14:val="tx1"/>
                  </w14:solidFill>
                </w14:textFill>
              </w:rPr>
              <w:t>吨</w:t>
            </w:r>
          </w:p>
        </w:tc>
        <w:tc>
          <w:tcPr>
            <w:tcW w:w="657" w:type="dxa"/>
            <w:tcBorders>
              <w:top w:val="nil"/>
              <w:left w:val="nil"/>
              <w:bottom w:val="single" w:color="auto" w:sz="4" w:space="0"/>
              <w:right w:val="single" w:color="auto" w:sz="4" w:space="0"/>
            </w:tcBorders>
            <w:noWrap w:val="0"/>
            <w:vAlign w:val="center"/>
          </w:tcPr>
          <w:p w14:paraId="156FB5C1">
            <w:pPr>
              <w:widowControl/>
              <w:spacing w:line="240" w:lineRule="exact"/>
              <w:jc w:val="cente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5</w:t>
            </w:r>
          </w:p>
        </w:tc>
        <w:tc>
          <w:tcPr>
            <w:tcW w:w="974" w:type="dxa"/>
            <w:tcBorders>
              <w:top w:val="nil"/>
              <w:left w:val="nil"/>
              <w:bottom w:val="single" w:color="auto" w:sz="4" w:space="0"/>
              <w:right w:val="single" w:color="auto" w:sz="4" w:space="0"/>
            </w:tcBorders>
            <w:noWrap w:val="0"/>
            <w:vAlign w:val="center"/>
          </w:tcPr>
          <w:p w14:paraId="6AE450C7">
            <w:pPr>
              <w:widowControl/>
              <w:spacing w:line="240" w:lineRule="exact"/>
              <w:jc w:val="cente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5</w:t>
            </w:r>
          </w:p>
        </w:tc>
        <w:tc>
          <w:tcPr>
            <w:tcW w:w="1405" w:type="dxa"/>
            <w:tcBorders>
              <w:top w:val="nil"/>
              <w:left w:val="nil"/>
              <w:bottom w:val="single" w:color="auto" w:sz="4" w:space="0"/>
              <w:right w:val="single" w:color="auto" w:sz="4" w:space="0"/>
            </w:tcBorders>
            <w:noWrap w:val="0"/>
            <w:vAlign w:val="center"/>
          </w:tcPr>
          <w:p w14:paraId="1BD24FE8">
            <w:pPr>
              <w:widowControl/>
              <w:spacing w:line="24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w:t>
            </w:r>
          </w:p>
        </w:tc>
      </w:tr>
      <w:tr w14:paraId="6A9F0E63">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003C98D2">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vAlign w:val="center"/>
          </w:tcPr>
          <w:p w14:paraId="3180F432">
            <w:pPr>
              <w:spacing w:line="240" w:lineRule="exact"/>
              <w:jc w:val="left"/>
              <w:rPr>
                <w:rFonts w:hint="eastAsia" w:ascii="仿宋_GB2312" w:hAnsi="仿宋_GB2312" w:eastAsia="仿宋_GB2312" w:cs="仿宋_GB2312"/>
                <w:color w:val="000000"/>
                <w:sz w:val="24"/>
                <w:szCs w:val="24"/>
                <w:highlight w:val="none"/>
              </w:rPr>
            </w:pPr>
          </w:p>
        </w:tc>
        <w:tc>
          <w:tcPr>
            <w:tcW w:w="1069" w:type="dxa"/>
            <w:vMerge w:val="restart"/>
            <w:tcBorders>
              <w:top w:val="nil"/>
              <w:left w:val="nil"/>
              <w:right w:val="single" w:color="auto" w:sz="4" w:space="0"/>
            </w:tcBorders>
            <w:noWrap w:val="0"/>
            <w:vAlign w:val="center"/>
          </w:tcPr>
          <w:p w14:paraId="6B4A588D">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质量指标</w:t>
            </w:r>
          </w:p>
        </w:tc>
        <w:tc>
          <w:tcPr>
            <w:tcW w:w="1556" w:type="dxa"/>
            <w:tcBorders>
              <w:top w:val="nil"/>
              <w:left w:val="nil"/>
              <w:bottom w:val="single" w:color="auto" w:sz="4" w:space="0"/>
              <w:right w:val="single" w:color="auto" w:sz="4" w:space="0"/>
            </w:tcBorders>
            <w:noWrap w:val="0"/>
            <w:vAlign w:val="center"/>
          </w:tcPr>
          <w:p w14:paraId="77D4D6E0">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生活垃圾资源化利用及无害化处理。</w:t>
            </w:r>
          </w:p>
        </w:tc>
        <w:tc>
          <w:tcPr>
            <w:tcW w:w="1044" w:type="dxa"/>
            <w:tcBorders>
              <w:top w:val="nil"/>
              <w:left w:val="nil"/>
              <w:bottom w:val="single" w:color="auto" w:sz="4" w:space="0"/>
              <w:right w:val="single" w:color="auto" w:sz="4" w:space="0"/>
            </w:tcBorders>
            <w:noWrap w:val="0"/>
            <w:vAlign w:val="center"/>
          </w:tcPr>
          <w:p w14:paraId="33F7345C">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95%</w:t>
            </w:r>
          </w:p>
        </w:tc>
        <w:tc>
          <w:tcPr>
            <w:tcW w:w="939" w:type="dxa"/>
            <w:tcBorders>
              <w:top w:val="nil"/>
              <w:left w:val="nil"/>
              <w:bottom w:val="single" w:color="auto" w:sz="4" w:space="0"/>
              <w:right w:val="single" w:color="auto" w:sz="4" w:space="0"/>
            </w:tcBorders>
            <w:noWrap w:val="0"/>
            <w:vAlign w:val="center"/>
          </w:tcPr>
          <w:p w14:paraId="67245B4F">
            <w:pPr>
              <w:widowControl/>
              <w:spacing w:line="240" w:lineRule="exact"/>
              <w:jc w:val="center"/>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US" w:eastAsia="zh-CN"/>
              </w:rPr>
              <w:t>100%</w:t>
            </w:r>
          </w:p>
        </w:tc>
        <w:tc>
          <w:tcPr>
            <w:tcW w:w="657" w:type="dxa"/>
            <w:tcBorders>
              <w:top w:val="nil"/>
              <w:left w:val="nil"/>
              <w:bottom w:val="single" w:color="auto" w:sz="4" w:space="0"/>
              <w:right w:val="single" w:color="auto" w:sz="4" w:space="0"/>
            </w:tcBorders>
            <w:noWrap w:val="0"/>
            <w:vAlign w:val="center"/>
          </w:tcPr>
          <w:p w14:paraId="6430FE15">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US" w:eastAsia="zh-CN"/>
              </w:rPr>
              <w:t>5</w:t>
            </w:r>
          </w:p>
        </w:tc>
        <w:tc>
          <w:tcPr>
            <w:tcW w:w="974" w:type="dxa"/>
            <w:tcBorders>
              <w:top w:val="nil"/>
              <w:left w:val="nil"/>
              <w:bottom w:val="single" w:color="auto" w:sz="4" w:space="0"/>
              <w:right w:val="single" w:color="auto" w:sz="4" w:space="0"/>
            </w:tcBorders>
            <w:noWrap w:val="0"/>
            <w:vAlign w:val="center"/>
          </w:tcPr>
          <w:p w14:paraId="32F0E5EB">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US" w:eastAsia="zh-CN"/>
              </w:rPr>
              <w:t>5</w:t>
            </w:r>
          </w:p>
        </w:tc>
        <w:tc>
          <w:tcPr>
            <w:tcW w:w="1405" w:type="dxa"/>
            <w:tcBorders>
              <w:top w:val="nil"/>
              <w:left w:val="nil"/>
              <w:bottom w:val="single" w:color="auto" w:sz="4" w:space="0"/>
              <w:right w:val="single" w:color="auto" w:sz="4" w:space="0"/>
            </w:tcBorders>
            <w:noWrap w:val="0"/>
            <w:vAlign w:val="center"/>
          </w:tcPr>
          <w:p w14:paraId="39B2DB60">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2A4A51E6">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7977738F">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vAlign w:val="center"/>
          </w:tcPr>
          <w:p w14:paraId="060F80F4">
            <w:pPr>
              <w:spacing w:line="240" w:lineRule="exact"/>
              <w:jc w:val="left"/>
              <w:rPr>
                <w:rFonts w:hint="eastAsia" w:ascii="仿宋_GB2312" w:hAnsi="仿宋_GB2312" w:eastAsia="仿宋_GB2312" w:cs="仿宋_GB2312"/>
                <w:color w:val="000000"/>
                <w:sz w:val="24"/>
                <w:szCs w:val="24"/>
                <w:highlight w:val="none"/>
              </w:rPr>
            </w:pPr>
          </w:p>
        </w:tc>
        <w:tc>
          <w:tcPr>
            <w:tcW w:w="1069" w:type="dxa"/>
            <w:vMerge w:val="continue"/>
            <w:tcBorders>
              <w:left w:val="nil"/>
              <w:right w:val="single" w:color="auto" w:sz="4" w:space="0"/>
            </w:tcBorders>
            <w:noWrap w:val="0"/>
            <w:vAlign w:val="center"/>
          </w:tcPr>
          <w:p w14:paraId="0174276C">
            <w:pPr>
              <w:spacing w:line="240" w:lineRule="exact"/>
              <w:jc w:val="center"/>
              <w:rPr>
                <w:rFonts w:hint="eastAsia" w:ascii="仿宋_GB2312" w:hAnsi="仿宋_GB2312" w:eastAsia="仿宋_GB2312" w:cs="仿宋_GB2312"/>
                <w:color w:val="000000"/>
                <w:sz w:val="24"/>
                <w:szCs w:val="24"/>
                <w:highlight w:val="none"/>
              </w:rPr>
            </w:pPr>
          </w:p>
        </w:tc>
        <w:tc>
          <w:tcPr>
            <w:tcW w:w="1556" w:type="dxa"/>
            <w:tcBorders>
              <w:top w:val="nil"/>
              <w:left w:val="nil"/>
              <w:bottom w:val="single" w:color="auto" w:sz="4" w:space="0"/>
              <w:right w:val="single" w:color="auto" w:sz="4" w:space="0"/>
            </w:tcBorders>
            <w:noWrap w:val="0"/>
            <w:vAlign w:val="center"/>
          </w:tcPr>
          <w:p w14:paraId="052AFA12">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降低生态环境问题风险。</w:t>
            </w:r>
          </w:p>
        </w:tc>
        <w:tc>
          <w:tcPr>
            <w:tcW w:w="1044" w:type="dxa"/>
            <w:tcBorders>
              <w:top w:val="nil"/>
              <w:left w:val="nil"/>
              <w:bottom w:val="single" w:color="auto" w:sz="4" w:space="0"/>
              <w:right w:val="single" w:color="auto" w:sz="4" w:space="0"/>
            </w:tcBorders>
            <w:noWrap w:val="0"/>
            <w:vAlign w:val="center"/>
          </w:tcPr>
          <w:p w14:paraId="2F8FBEC4">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95%</w:t>
            </w:r>
          </w:p>
        </w:tc>
        <w:tc>
          <w:tcPr>
            <w:tcW w:w="939" w:type="dxa"/>
            <w:tcBorders>
              <w:top w:val="nil"/>
              <w:left w:val="nil"/>
              <w:bottom w:val="single" w:color="auto" w:sz="4" w:space="0"/>
              <w:right w:val="single" w:color="auto" w:sz="4" w:space="0"/>
            </w:tcBorders>
            <w:noWrap w:val="0"/>
            <w:vAlign w:val="center"/>
          </w:tcPr>
          <w:p w14:paraId="78BBFAE8">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lang w:val="en-US" w:eastAsia="zh-CN"/>
              </w:rPr>
              <w:t>100%</w:t>
            </w:r>
          </w:p>
        </w:tc>
        <w:tc>
          <w:tcPr>
            <w:tcW w:w="657" w:type="dxa"/>
            <w:tcBorders>
              <w:top w:val="nil"/>
              <w:left w:val="nil"/>
              <w:bottom w:val="single" w:color="auto" w:sz="4" w:space="0"/>
              <w:right w:val="single" w:color="auto" w:sz="4" w:space="0"/>
            </w:tcBorders>
            <w:noWrap w:val="0"/>
            <w:vAlign w:val="center"/>
          </w:tcPr>
          <w:p w14:paraId="5BA2585E">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US" w:eastAsia="zh-CN"/>
              </w:rPr>
              <w:t>5</w:t>
            </w:r>
          </w:p>
        </w:tc>
        <w:tc>
          <w:tcPr>
            <w:tcW w:w="974" w:type="dxa"/>
            <w:tcBorders>
              <w:top w:val="nil"/>
              <w:left w:val="nil"/>
              <w:bottom w:val="single" w:color="auto" w:sz="4" w:space="0"/>
              <w:right w:val="single" w:color="auto" w:sz="4" w:space="0"/>
            </w:tcBorders>
            <w:noWrap w:val="0"/>
            <w:vAlign w:val="center"/>
          </w:tcPr>
          <w:p w14:paraId="0320E12B">
            <w:pPr>
              <w:widowControl/>
              <w:spacing w:line="240" w:lineRule="exact"/>
              <w:jc w:val="left"/>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5</w:t>
            </w:r>
          </w:p>
        </w:tc>
        <w:tc>
          <w:tcPr>
            <w:tcW w:w="1405" w:type="dxa"/>
            <w:tcBorders>
              <w:top w:val="nil"/>
              <w:left w:val="nil"/>
              <w:bottom w:val="single" w:color="auto" w:sz="4" w:space="0"/>
              <w:right w:val="single" w:color="auto" w:sz="4" w:space="0"/>
            </w:tcBorders>
            <w:noWrap w:val="0"/>
            <w:vAlign w:val="center"/>
          </w:tcPr>
          <w:p w14:paraId="5EEAEB9C">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24244D68">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1EB73CD7">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vAlign w:val="center"/>
          </w:tcPr>
          <w:p w14:paraId="0FBDD1EC">
            <w:pPr>
              <w:spacing w:line="240" w:lineRule="exact"/>
              <w:jc w:val="left"/>
              <w:rPr>
                <w:rFonts w:hint="eastAsia" w:ascii="仿宋_GB2312" w:hAnsi="仿宋_GB2312" w:eastAsia="仿宋_GB2312" w:cs="仿宋_GB2312"/>
                <w:color w:val="000000"/>
                <w:sz w:val="24"/>
                <w:szCs w:val="24"/>
                <w:highlight w:val="none"/>
              </w:rPr>
            </w:pPr>
          </w:p>
        </w:tc>
        <w:tc>
          <w:tcPr>
            <w:tcW w:w="1069" w:type="dxa"/>
            <w:vMerge w:val="continue"/>
            <w:tcBorders>
              <w:left w:val="nil"/>
              <w:bottom w:val="single" w:color="auto" w:sz="4" w:space="0"/>
              <w:right w:val="single" w:color="auto" w:sz="4" w:space="0"/>
            </w:tcBorders>
            <w:noWrap w:val="0"/>
            <w:vAlign w:val="center"/>
          </w:tcPr>
          <w:p w14:paraId="5BD23EA6">
            <w:pPr>
              <w:widowControl/>
              <w:spacing w:line="240" w:lineRule="exact"/>
              <w:jc w:val="center"/>
              <w:rPr>
                <w:rFonts w:hint="eastAsia" w:ascii="仿宋_GB2312" w:hAnsi="仿宋_GB2312" w:eastAsia="仿宋_GB2312" w:cs="仿宋_GB2312"/>
                <w:color w:val="000000"/>
                <w:sz w:val="24"/>
                <w:szCs w:val="24"/>
                <w:highlight w:val="none"/>
              </w:rPr>
            </w:pPr>
          </w:p>
        </w:tc>
        <w:tc>
          <w:tcPr>
            <w:tcW w:w="1556" w:type="dxa"/>
            <w:tcBorders>
              <w:top w:val="nil"/>
              <w:left w:val="nil"/>
              <w:bottom w:val="single" w:color="auto" w:sz="4" w:space="0"/>
              <w:right w:val="single" w:color="auto" w:sz="4" w:space="0"/>
            </w:tcBorders>
            <w:noWrap w:val="0"/>
            <w:vAlign w:val="center"/>
          </w:tcPr>
          <w:p w14:paraId="053A2DEE">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使中心城区生活垃圾实现“零”填埋</w:t>
            </w:r>
          </w:p>
        </w:tc>
        <w:tc>
          <w:tcPr>
            <w:tcW w:w="1044" w:type="dxa"/>
            <w:tcBorders>
              <w:top w:val="nil"/>
              <w:left w:val="nil"/>
              <w:bottom w:val="single" w:color="auto" w:sz="4" w:space="0"/>
              <w:right w:val="single" w:color="auto" w:sz="4" w:space="0"/>
            </w:tcBorders>
            <w:noWrap w:val="0"/>
            <w:vAlign w:val="center"/>
          </w:tcPr>
          <w:p w14:paraId="094CCB2D">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95%</w:t>
            </w:r>
          </w:p>
        </w:tc>
        <w:tc>
          <w:tcPr>
            <w:tcW w:w="939" w:type="dxa"/>
            <w:tcBorders>
              <w:top w:val="nil"/>
              <w:left w:val="nil"/>
              <w:bottom w:val="single" w:color="auto" w:sz="4" w:space="0"/>
              <w:right w:val="single" w:color="auto" w:sz="4" w:space="0"/>
            </w:tcBorders>
            <w:noWrap w:val="0"/>
            <w:vAlign w:val="center"/>
          </w:tcPr>
          <w:p w14:paraId="65A38FBD">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lang w:val="en-US" w:eastAsia="zh-CN"/>
              </w:rPr>
              <w:t>100%</w:t>
            </w:r>
          </w:p>
        </w:tc>
        <w:tc>
          <w:tcPr>
            <w:tcW w:w="657" w:type="dxa"/>
            <w:tcBorders>
              <w:top w:val="nil"/>
              <w:left w:val="nil"/>
              <w:bottom w:val="single" w:color="auto" w:sz="4" w:space="0"/>
              <w:right w:val="single" w:color="auto" w:sz="4" w:space="0"/>
            </w:tcBorders>
            <w:noWrap w:val="0"/>
            <w:vAlign w:val="center"/>
          </w:tcPr>
          <w:p w14:paraId="5148E84F">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US" w:eastAsia="zh-CN"/>
              </w:rPr>
              <w:t>5</w:t>
            </w:r>
          </w:p>
        </w:tc>
        <w:tc>
          <w:tcPr>
            <w:tcW w:w="974" w:type="dxa"/>
            <w:tcBorders>
              <w:top w:val="nil"/>
              <w:left w:val="nil"/>
              <w:bottom w:val="single" w:color="auto" w:sz="4" w:space="0"/>
              <w:right w:val="single" w:color="auto" w:sz="4" w:space="0"/>
            </w:tcBorders>
            <w:noWrap w:val="0"/>
            <w:vAlign w:val="center"/>
          </w:tcPr>
          <w:p w14:paraId="7B1557A8">
            <w:pPr>
              <w:widowControl/>
              <w:spacing w:line="240" w:lineRule="exact"/>
              <w:jc w:val="left"/>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5</w:t>
            </w:r>
          </w:p>
        </w:tc>
        <w:tc>
          <w:tcPr>
            <w:tcW w:w="1405" w:type="dxa"/>
            <w:tcBorders>
              <w:top w:val="nil"/>
              <w:left w:val="nil"/>
              <w:bottom w:val="single" w:color="auto" w:sz="4" w:space="0"/>
              <w:right w:val="single" w:color="auto" w:sz="4" w:space="0"/>
            </w:tcBorders>
            <w:noWrap w:val="0"/>
            <w:vAlign w:val="center"/>
          </w:tcPr>
          <w:p w14:paraId="267AEE7B">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703F7E54">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4A2D7087">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vAlign w:val="center"/>
          </w:tcPr>
          <w:p w14:paraId="6966AA4F">
            <w:pPr>
              <w:spacing w:line="240" w:lineRule="exact"/>
              <w:jc w:val="left"/>
              <w:rPr>
                <w:rFonts w:hint="eastAsia" w:ascii="仿宋_GB2312" w:hAnsi="仿宋_GB2312" w:eastAsia="仿宋_GB2312" w:cs="仿宋_GB2312"/>
                <w:color w:val="000000"/>
                <w:sz w:val="24"/>
                <w:szCs w:val="24"/>
                <w:highlight w:val="none"/>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7CA7C683">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时效指标</w:t>
            </w:r>
          </w:p>
        </w:tc>
        <w:tc>
          <w:tcPr>
            <w:tcW w:w="1556" w:type="dxa"/>
            <w:tcBorders>
              <w:top w:val="single" w:color="auto" w:sz="4" w:space="0"/>
              <w:left w:val="single" w:color="auto" w:sz="4" w:space="0"/>
              <w:bottom w:val="single" w:color="auto" w:sz="4" w:space="0"/>
              <w:right w:val="single" w:color="auto" w:sz="4" w:space="0"/>
            </w:tcBorders>
            <w:noWrap w:val="0"/>
            <w:vAlign w:val="center"/>
          </w:tcPr>
          <w:p w14:paraId="296F5CB8">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按照年初计划时进度完成</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2F3017EA">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202</w:t>
            </w:r>
            <w:r>
              <w:rPr>
                <w:rFonts w:hint="eastAsia" w:ascii="仿宋_GB2312" w:hAnsi="仿宋_GB2312" w:eastAsia="仿宋_GB2312" w:cs="仿宋_GB2312"/>
                <w:color w:val="000000"/>
                <w:sz w:val="22"/>
                <w:szCs w:val="22"/>
                <w:highlight w:val="none"/>
                <w:lang w:val="en-US" w:eastAsia="zh-CN"/>
              </w:rPr>
              <w:t>5</w:t>
            </w:r>
            <w:r>
              <w:rPr>
                <w:rFonts w:hint="eastAsia" w:ascii="仿宋_GB2312" w:hAnsi="仿宋_GB2312" w:eastAsia="仿宋_GB2312" w:cs="仿宋_GB2312"/>
                <w:color w:val="000000"/>
                <w:sz w:val="22"/>
                <w:szCs w:val="22"/>
                <w:highlight w:val="none"/>
              </w:rPr>
              <w:t>年1月-12月</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03703217">
            <w:pPr>
              <w:widowControl/>
              <w:spacing w:line="240" w:lineRule="exact"/>
              <w:jc w:val="center"/>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US" w:eastAsia="zh-CN"/>
              </w:rPr>
              <w:t>100%</w:t>
            </w:r>
          </w:p>
        </w:tc>
        <w:tc>
          <w:tcPr>
            <w:tcW w:w="657" w:type="dxa"/>
            <w:tcBorders>
              <w:top w:val="single" w:color="auto" w:sz="4" w:space="0"/>
              <w:left w:val="single" w:color="auto" w:sz="4" w:space="0"/>
              <w:bottom w:val="single" w:color="auto" w:sz="4" w:space="0"/>
              <w:right w:val="single" w:color="auto" w:sz="4" w:space="0"/>
            </w:tcBorders>
            <w:noWrap w:val="0"/>
            <w:vAlign w:val="center"/>
          </w:tcPr>
          <w:p w14:paraId="5D057F6D">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US" w:eastAsia="zh-CN"/>
              </w:rPr>
              <w:t>5</w:t>
            </w:r>
          </w:p>
        </w:tc>
        <w:tc>
          <w:tcPr>
            <w:tcW w:w="974" w:type="dxa"/>
            <w:tcBorders>
              <w:top w:val="single" w:color="auto" w:sz="4" w:space="0"/>
              <w:left w:val="single" w:color="auto" w:sz="4" w:space="0"/>
              <w:bottom w:val="single" w:color="auto" w:sz="4" w:space="0"/>
              <w:right w:val="single" w:color="auto" w:sz="4" w:space="0"/>
            </w:tcBorders>
            <w:noWrap w:val="0"/>
            <w:vAlign w:val="center"/>
          </w:tcPr>
          <w:p w14:paraId="318DE5A3">
            <w:pPr>
              <w:widowControl/>
              <w:spacing w:line="240" w:lineRule="exact"/>
              <w:jc w:val="left"/>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5</w:t>
            </w:r>
          </w:p>
        </w:tc>
        <w:tc>
          <w:tcPr>
            <w:tcW w:w="1405" w:type="dxa"/>
            <w:tcBorders>
              <w:top w:val="single" w:color="auto" w:sz="4" w:space="0"/>
              <w:left w:val="single" w:color="auto" w:sz="4" w:space="0"/>
              <w:bottom w:val="single" w:color="auto" w:sz="4" w:space="0"/>
              <w:right w:val="single" w:color="auto" w:sz="4" w:space="0"/>
            </w:tcBorders>
            <w:noWrap w:val="0"/>
            <w:vAlign w:val="center"/>
          </w:tcPr>
          <w:p w14:paraId="29D9E9AF">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42BE43CE">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1600A2A2">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vAlign w:val="center"/>
          </w:tcPr>
          <w:p w14:paraId="72B38C2A">
            <w:pPr>
              <w:spacing w:line="240" w:lineRule="exact"/>
              <w:jc w:val="left"/>
              <w:rPr>
                <w:rFonts w:hint="eastAsia" w:ascii="仿宋_GB2312" w:hAnsi="仿宋_GB2312" w:eastAsia="仿宋_GB2312" w:cs="仿宋_GB2312"/>
                <w:color w:val="000000"/>
                <w:sz w:val="24"/>
                <w:szCs w:val="24"/>
                <w:highlight w:val="none"/>
              </w:rPr>
            </w:pPr>
          </w:p>
        </w:tc>
        <w:tc>
          <w:tcPr>
            <w:tcW w:w="1069" w:type="dxa"/>
            <w:vMerge w:val="restart"/>
            <w:tcBorders>
              <w:top w:val="single" w:color="auto" w:sz="4" w:space="0"/>
              <w:left w:val="single" w:color="auto" w:sz="4" w:space="0"/>
              <w:right w:val="single" w:color="auto" w:sz="4" w:space="0"/>
            </w:tcBorders>
            <w:noWrap w:val="0"/>
            <w:vAlign w:val="center"/>
          </w:tcPr>
          <w:p w14:paraId="45591F05">
            <w:pPr>
              <w:spacing w:line="240" w:lineRule="exact"/>
              <w:jc w:val="left"/>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成本指标</w:t>
            </w:r>
          </w:p>
        </w:tc>
        <w:tc>
          <w:tcPr>
            <w:tcW w:w="1556" w:type="dxa"/>
            <w:tcBorders>
              <w:top w:val="single" w:color="auto" w:sz="4" w:space="0"/>
              <w:left w:val="single" w:color="auto" w:sz="4" w:space="0"/>
              <w:bottom w:val="single" w:color="auto" w:sz="4" w:space="0"/>
              <w:right w:val="single" w:color="auto" w:sz="4" w:space="0"/>
            </w:tcBorders>
            <w:noWrap w:val="0"/>
            <w:vAlign w:val="center"/>
          </w:tcPr>
          <w:p w14:paraId="41D60B98">
            <w:pPr>
              <w:widowControl/>
              <w:spacing w:line="240" w:lineRule="exact"/>
              <w:jc w:val="center"/>
              <w:rPr>
                <w:rFonts w:hint="eastAsia" w:ascii="仿宋_GB2312" w:hAnsi="仿宋_GB2312" w:eastAsia="仿宋_GB2312" w:cs="仿宋_GB2312"/>
                <w:color w:val="000000"/>
                <w:kern w:val="0"/>
                <w:sz w:val="22"/>
                <w:szCs w:val="22"/>
                <w:highlight w:val="none"/>
                <w:lang w:val="en-US" w:eastAsia="zh-CN" w:bidi="ar-SA"/>
              </w:rPr>
            </w:pPr>
            <w:r>
              <w:rPr>
                <w:rFonts w:hint="eastAsia" w:ascii="仿宋_GB2312" w:hAnsi="仿宋_GB2312" w:eastAsia="仿宋_GB2312" w:cs="仿宋_GB2312"/>
                <w:color w:val="000000"/>
                <w:sz w:val="22"/>
                <w:szCs w:val="22"/>
                <w:highlight w:val="none"/>
              </w:rPr>
              <w:t>按照预算，不超出预算安排</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41FA6536">
            <w:pPr>
              <w:widowControl/>
              <w:spacing w:line="240" w:lineRule="exact"/>
              <w:jc w:val="left"/>
              <w:rPr>
                <w:rFonts w:hint="eastAsia" w:ascii="仿宋_GB2312" w:hAnsi="仿宋_GB2312" w:eastAsia="仿宋_GB2312" w:cs="仿宋_GB2312"/>
                <w:color w:val="000000"/>
                <w:kern w:val="0"/>
                <w:sz w:val="22"/>
                <w:szCs w:val="22"/>
                <w:highlight w:val="none"/>
                <w:lang w:val="en-US" w:eastAsia="zh-CN" w:bidi="ar-SA"/>
              </w:rPr>
            </w:pPr>
            <w:r>
              <w:rPr>
                <w:rFonts w:hint="eastAsia" w:ascii="仿宋_GB2312" w:hAnsi="仿宋_GB2312" w:eastAsia="仿宋_GB2312" w:cs="仿宋_GB2312"/>
                <w:color w:val="000000"/>
                <w:sz w:val="22"/>
                <w:szCs w:val="22"/>
                <w:highlight w:val="none"/>
              </w:rPr>
              <w:t>控制在预算金额内</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509D6C20">
            <w:pPr>
              <w:widowControl/>
              <w:spacing w:line="240" w:lineRule="exact"/>
              <w:jc w:val="left"/>
              <w:rPr>
                <w:rFonts w:hint="eastAsia" w:ascii="仿宋_GB2312" w:hAnsi="仿宋_GB2312" w:eastAsia="仿宋_GB2312" w:cs="仿宋_GB2312"/>
                <w:color w:val="000000"/>
                <w:kern w:val="0"/>
                <w:sz w:val="22"/>
                <w:szCs w:val="22"/>
                <w:highlight w:val="none"/>
                <w:lang w:val="en-US" w:eastAsia="zh-CN" w:bidi="ar-SA"/>
              </w:rPr>
            </w:pPr>
            <w:r>
              <w:rPr>
                <w:rFonts w:hint="eastAsia" w:ascii="仿宋_GB2312" w:hAnsi="仿宋_GB2312" w:eastAsia="仿宋_GB2312" w:cs="仿宋_GB2312"/>
                <w:color w:val="000000"/>
                <w:sz w:val="22"/>
                <w:szCs w:val="22"/>
                <w:highlight w:val="none"/>
                <w:lang w:eastAsia="zh-CN"/>
              </w:rPr>
              <w:t>未超预算</w:t>
            </w:r>
          </w:p>
        </w:tc>
        <w:tc>
          <w:tcPr>
            <w:tcW w:w="657" w:type="dxa"/>
            <w:tcBorders>
              <w:top w:val="nil"/>
              <w:left w:val="nil"/>
              <w:bottom w:val="single" w:color="auto" w:sz="4" w:space="0"/>
              <w:right w:val="single" w:color="auto" w:sz="4" w:space="0"/>
            </w:tcBorders>
            <w:noWrap w:val="0"/>
            <w:vAlign w:val="center"/>
          </w:tcPr>
          <w:p w14:paraId="1095F9A7">
            <w:pPr>
              <w:widowControl/>
              <w:spacing w:line="240" w:lineRule="exact"/>
              <w:jc w:val="center"/>
              <w:rPr>
                <w:rFonts w:hint="default" w:ascii="仿宋_GB2312" w:hAnsi="仿宋_GB2312" w:eastAsia="仿宋_GB2312" w:cs="仿宋_GB2312"/>
                <w:color w:val="000000"/>
                <w:kern w:val="0"/>
                <w:sz w:val="22"/>
                <w:szCs w:val="22"/>
                <w:highlight w:val="none"/>
                <w:lang w:val="en" w:eastAsia="zh-CN" w:bidi="ar-SA"/>
              </w:rPr>
            </w:pPr>
            <w:r>
              <w:rPr>
                <w:rFonts w:hint="default" w:ascii="仿宋_GB2312" w:hAnsi="仿宋_GB2312" w:eastAsia="仿宋_GB2312" w:cs="仿宋_GB2312"/>
                <w:color w:val="000000"/>
                <w:sz w:val="22"/>
                <w:szCs w:val="22"/>
                <w:highlight w:val="none"/>
                <w:lang w:val="en" w:eastAsia="zh-CN"/>
              </w:rPr>
              <w:t>3</w:t>
            </w:r>
          </w:p>
        </w:tc>
        <w:tc>
          <w:tcPr>
            <w:tcW w:w="974" w:type="dxa"/>
            <w:tcBorders>
              <w:top w:val="nil"/>
              <w:left w:val="nil"/>
              <w:bottom w:val="single" w:color="auto" w:sz="4" w:space="0"/>
              <w:right w:val="single" w:color="auto" w:sz="4" w:space="0"/>
            </w:tcBorders>
            <w:noWrap w:val="0"/>
            <w:vAlign w:val="center"/>
          </w:tcPr>
          <w:p w14:paraId="067AB8B0">
            <w:pPr>
              <w:widowControl/>
              <w:spacing w:line="240" w:lineRule="exact"/>
              <w:jc w:val="center"/>
              <w:rPr>
                <w:rFonts w:hint="default" w:ascii="仿宋_GB2312" w:hAnsi="仿宋_GB2312" w:eastAsia="仿宋_GB2312" w:cs="仿宋_GB2312"/>
                <w:color w:val="000000"/>
                <w:kern w:val="0"/>
                <w:sz w:val="22"/>
                <w:szCs w:val="22"/>
                <w:highlight w:val="none"/>
                <w:lang w:val="en" w:eastAsia="zh-CN" w:bidi="ar-SA"/>
              </w:rPr>
            </w:pPr>
            <w:r>
              <w:rPr>
                <w:rFonts w:hint="default" w:ascii="仿宋_GB2312" w:hAnsi="仿宋_GB2312" w:eastAsia="仿宋_GB2312" w:cs="仿宋_GB2312"/>
                <w:color w:val="000000"/>
                <w:sz w:val="22"/>
                <w:szCs w:val="22"/>
                <w:highlight w:val="none"/>
                <w:lang w:val="en" w:eastAsia="zh-CN"/>
              </w:rPr>
              <w:t>2</w:t>
            </w:r>
          </w:p>
        </w:tc>
        <w:tc>
          <w:tcPr>
            <w:tcW w:w="1405" w:type="dxa"/>
            <w:tcBorders>
              <w:top w:val="nil"/>
              <w:left w:val="nil"/>
              <w:bottom w:val="single" w:color="auto" w:sz="4" w:space="0"/>
              <w:right w:val="single" w:color="auto" w:sz="4" w:space="0"/>
            </w:tcBorders>
            <w:noWrap w:val="0"/>
            <w:vAlign w:val="center"/>
          </w:tcPr>
          <w:p w14:paraId="7B3A8341">
            <w:pPr>
              <w:widowControl/>
              <w:spacing w:line="240" w:lineRule="exact"/>
              <w:jc w:val="left"/>
              <w:rPr>
                <w:rFonts w:hint="eastAsia" w:ascii="仿宋_GB2312" w:hAnsi="仿宋_GB2312" w:eastAsia="仿宋_GB2312" w:cs="仿宋_GB2312"/>
                <w:color w:val="000000"/>
                <w:sz w:val="22"/>
                <w:szCs w:val="22"/>
                <w:highlight w:val="none"/>
              </w:rPr>
            </w:pPr>
          </w:p>
        </w:tc>
      </w:tr>
      <w:tr w14:paraId="519D8CC5">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32CA4423">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vAlign w:val="center"/>
          </w:tcPr>
          <w:p w14:paraId="37E4AB12">
            <w:pPr>
              <w:spacing w:line="240" w:lineRule="exact"/>
              <w:jc w:val="left"/>
              <w:rPr>
                <w:rFonts w:hint="eastAsia" w:ascii="仿宋_GB2312" w:hAnsi="仿宋_GB2312" w:eastAsia="仿宋_GB2312" w:cs="仿宋_GB2312"/>
                <w:color w:val="000000"/>
                <w:sz w:val="24"/>
                <w:szCs w:val="24"/>
                <w:highlight w:val="none"/>
              </w:rPr>
            </w:pPr>
          </w:p>
        </w:tc>
        <w:tc>
          <w:tcPr>
            <w:tcW w:w="1069" w:type="dxa"/>
            <w:vMerge w:val="continue"/>
            <w:tcBorders>
              <w:left w:val="single" w:color="auto" w:sz="4" w:space="0"/>
              <w:right w:val="single" w:color="auto" w:sz="4" w:space="0"/>
            </w:tcBorders>
            <w:noWrap w:val="0"/>
            <w:vAlign w:val="center"/>
          </w:tcPr>
          <w:p w14:paraId="75D42AB7">
            <w:pPr>
              <w:spacing w:line="240" w:lineRule="exact"/>
              <w:jc w:val="left"/>
              <w:rPr>
                <w:rFonts w:hint="eastAsia" w:ascii="仿宋_GB2312" w:hAnsi="仿宋_GB2312" w:eastAsia="仿宋_GB2312" w:cs="仿宋_GB2312"/>
                <w:color w:val="000000"/>
                <w:sz w:val="24"/>
                <w:szCs w:val="24"/>
                <w:highlight w:val="none"/>
                <w:lang w:val="en-US" w:eastAsia="zh-CN"/>
              </w:rPr>
            </w:pPr>
          </w:p>
        </w:tc>
        <w:tc>
          <w:tcPr>
            <w:tcW w:w="1556" w:type="dxa"/>
            <w:tcBorders>
              <w:top w:val="single" w:color="auto" w:sz="4" w:space="0"/>
              <w:left w:val="single" w:color="auto" w:sz="4" w:space="0"/>
              <w:bottom w:val="single" w:color="auto" w:sz="4" w:space="0"/>
              <w:right w:val="single" w:color="auto" w:sz="4" w:space="0"/>
            </w:tcBorders>
            <w:noWrap w:val="0"/>
            <w:vAlign w:val="center"/>
          </w:tcPr>
          <w:p w14:paraId="33909096">
            <w:pPr>
              <w:widowControl/>
              <w:spacing w:line="240" w:lineRule="exact"/>
              <w:jc w:val="center"/>
              <w:rPr>
                <w:rFonts w:hint="eastAsia" w:ascii="仿宋_GB2312" w:hAnsi="仿宋_GB2312" w:eastAsia="仿宋_GB2312" w:cs="仿宋_GB2312"/>
                <w:color w:val="000000"/>
                <w:sz w:val="22"/>
                <w:szCs w:val="22"/>
                <w:highlight w:val="none"/>
                <w:lang w:val="en" w:eastAsia="zh-CN"/>
              </w:rPr>
            </w:pPr>
            <w:r>
              <w:rPr>
                <w:rFonts w:hint="eastAsia" w:ascii="仿宋_GB2312" w:hAnsi="仿宋_GB2312" w:eastAsia="仿宋_GB2312" w:cs="仿宋_GB2312"/>
                <w:color w:val="000000"/>
                <w:sz w:val="22"/>
                <w:szCs w:val="22"/>
                <w:highlight w:val="none"/>
                <w:lang w:val="en" w:eastAsia="zh-CN"/>
              </w:rPr>
              <w:t>是否对社会环境造成负面影响</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755B0420">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 w:eastAsia="zh-CN"/>
              </w:rPr>
              <w:t>无负面影响</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188CAA24">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 w:eastAsia="zh-CN"/>
              </w:rPr>
              <w:t>无负面影响</w:t>
            </w:r>
          </w:p>
        </w:tc>
        <w:tc>
          <w:tcPr>
            <w:tcW w:w="657" w:type="dxa"/>
            <w:tcBorders>
              <w:top w:val="nil"/>
              <w:left w:val="nil"/>
              <w:bottom w:val="single" w:color="auto" w:sz="4" w:space="0"/>
              <w:right w:val="single" w:color="auto" w:sz="4" w:space="0"/>
            </w:tcBorders>
            <w:noWrap w:val="0"/>
            <w:vAlign w:val="center"/>
          </w:tcPr>
          <w:p w14:paraId="26123FEB">
            <w:pPr>
              <w:widowControl/>
              <w:spacing w:line="240" w:lineRule="exact"/>
              <w:jc w:val="center"/>
              <w:rPr>
                <w:rFonts w:hint="default" w:ascii="仿宋_GB2312" w:hAnsi="仿宋_GB2312" w:eastAsia="仿宋_GB2312" w:cs="仿宋_GB2312"/>
                <w:color w:val="000000"/>
                <w:sz w:val="22"/>
                <w:szCs w:val="22"/>
                <w:highlight w:val="none"/>
                <w:lang w:val="en" w:eastAsia="zh-CN"/>
              </w:rPr>
            </w:pPr>
            <w:r>
              <w:rPr>
                <w:rFonts w:hint="default" w:ascii="仿宋_GB2312" w:hAnsi="仿宋_GB2312" w:eastAsia="仿宋_GB2312" w:cs="仿宋_GB2312"/>
                <w:color w:val="000000"/>
                <w:sz w:val="22"/>
                <w:szCs w:val="22"/>
                <w:highlight w:val="none"/>
                <w:lang w:val="en" w:eastAsia="zh-CN"/>
              </w:rPr>
              <w:t>1</w:t>
            </w:r>
          </w:p>
        </w:tc>
        <w:tc>
          <w:tcPr>
            <w:tcW w:w="974" w:type="dxa"/>
            <w:tcBorders>
              <w:top w:val="nil"/>
              <w:left w:val="nil"/>
              <w:bottom w:val="single" w:color="auto" w:sz="4" w:space="0"/>
              <w:right w:val="single" w:color="auto" w:sz="4" w:space="0"/>
            </w:tcBorders>
            <w:noWrap w:val="0"/>
            <w:vAlign w:val="center"/>
          </w:tcPr>
          <w:p w14:paraId="0752C04D">
            <w:pPr>
              <w:widowControl/>
              <w:spacing w:line="240" w:lineRule="exact"/>
              <w:jc w:val="center"/>
              <w:rPr>
                <w:rFonts w:hint="default" w:ascii="仿宋_GB2312" w:hAnsi="仿宋_GB2312" w:eastAsia="仿宋_GB2312" w:cs="仿宋_GB2312"/>
                <w:color w:val="000000"/>
                <w:sz w:val="22"/>
                <w:szCs w:val="22"/>
                <w:highlight w:val="none"/>
                <w:lang w:val="en"/>
              </w:rPr>
            </w:pPr>
            <w:r>
              <w:rPr>
                <w:rFonts w:hint="default" w:ascii="仿宋_GB2312" w:hAnsi="仿宋_GB2312" w:eastAsia="仿宋_GB2312" w:cs="仿宋_GB2312"/>
                <w:color w:val="000000"/>
                <w:sz w:val="22"/>
                <w:szCs w:val="22"/>
                <w:highlight w:val="none"/>
                <w:lang w:val="en"/>
              </w:rPr>
              <w:t>1</w:t>
            </w:r>
          </w:p>
        </w:tc>
        <w:tc>
          <w:tcPr>
            <w:tcW w:w="1405" w:type="dxa"/>
            <w:tcBorders>
              <w:top w:val="nil"/>
              <w:left w:val="nil"/>
              <w:bottom w:val="single" w:color="auto" w:sz="4" w:space="0"/>
              <w:right w:val="single" w:color="auto" w:sz="4" w:space="0"/>
            </w:tcBorders>
            <w:noWrap w:val="0"/>
            <w:vAlign w:val="center"/>
          </w:tcPr>
          <w:p w14:paraId="332924DD">
            <w:pPr>
              <w:widowControl/>
              <w:spacing w:line="240" w:lineRule="exact"/>
              <w:jc w:val="left"/>
              <w:rPr>
                <w:rFonts w:hint="eastAsia" w:ascii="仿宋_GB2312" w:hAnsi="仿宋_GB2312" w:eastAsia="仿宋_GB2312" w:cs="仿宋_GB2312"/>
                <w:color w:val="000000"/>
                <w:sz w:val="22"/>
                <w:szCs w:val="22"/>
                <w:highlight w:val="none"/>
              </w:rPr>
            </w:pPr>
          </w:p>
        </w:tc>
      </w:tr>
      <w:tr w14:paraId="36DB9F64">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5D5D6D29">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vAlign w:val="center"/>
          </w:tcPr>
          <w:p w14:paraId="5702D035">
            <w:pPr>
              <w:spacing w:line="240" w:lineRule="exact"/>
              <w:jc w:val="left"/>
              <w:rPr>
                <w:rFonts w:hint="eastAsia" w:ascii="仿宋_GB2312" w:hAnsi="仿宋_GB2312" w:eastAsia="仿宋_GB2312" w:cs="仿宋_GB2312"/>
                <w:color w:val="000000"/>
                <w:sz w:val="24"/>
                <w:szCs w:val="24"/>
                <w:highlight w:val="none"/>
              </w:rPr>
            </w:pPr>
          </w:p>
        </w:tc>
        <w:tc>
          <w:tcPr>
            <w:tcW w:w="1069" w:type="dxa"/>
            <w:vMerge w:val="continue"/>
            <w:tcBorders>
              <w:left w:val="single" w:color="auto" w:sz="4" w:space="0"/>
              <w:bottom w:val="single" w:color="auto" w:sz="4" w:space="0"/>
              <w:right w:val="single" w:color="auto" w:sz="4" w:space="0"/>
            </w:tcBorders>
            <w:noWrap w:val="0"/>
            <w:vAlign w:val="center"/>
          </w:tcPr>
          <w:p w14:paraId="34099D77">
            <w:pPr>
              <w:spacing w:line="240" w:lineRule="exact"/>
              <w:jc w:val="left"/>
              <w:rPr>
                <w:rFonts w:hint="default" w:ascii="仿宋_GB2312" w:hAnsi="仿宋_GB2312" w:eastAsia="仿宋_GB2312" w:cs="仿宋_GB2312"/>
                <w:color w:val="000000"/>
                <w:sz w:val="24"/>
                <w:szCs w:val="24"/>
                <w:highlight w:val="none"/>
                <w:lang w:val="en-US" w:eastAsia="zh-CN"/>
              </w:rPr>
            </w:pPr>
          </w:p>
        </w:tc>
        <w:tc>
          <w:tcPr>
            <w:tcW w:w="1556" w:type="dxa"/>
            <w:tcBorders>
              <w:top w:val="single" w:color="auto" w:sz="4" w:space="0"/>
              <w:left w:val="single" w:color="auto" w:sz="4" w:space="0"/>
              <w:bottom w:val="single" w:color="auto" w:sz="4" w:space="0"/>
              <w:right w:val="single" w:color="auto" w:sz="4" w:space="0"/>
            </w:tcBorders>
            <w:noWrap w:val="0"/>
            <w:vAlign w:val="center"/>
          </w:tcPr>
          <w:p w14:paraId="629F7682">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eastAsia="zh-CN"/>
              </w:rPr>
              <w:t>是否对生态环境造成负面影响</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08C484B1">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 w:eastAsia="zh-CN"/>
              </w:rPr>
              <w:t>无负面影响</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2960972E">
            <w:pPr>
              <w:widowControl/>
              <w:spacing w:line="240" w:lineRule="exact"/>
              <w:jc w:val="center"/>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 w:eastAsia="zh-CN"/>
              </w:rPr>
              <w:t>无负面影响</w:t>
            </w:r>
          </w:p>
        </w:tc>
        <w:tc>
          <w:tcPr>
            <w:tcW w:w="657" w:type="dxa"/>
            <w:tcBorders>
              <w:top w:val="nil"/>
              <w:left w:val="nil"/>
              <w:bottom w:val="single" w:color="auto" w:sz="4" w:space="0"/>
              <w:right w:val="single" w:color="auto" w:sz="4" w:space="0"/>
            </w:tcBorders>
            <w:noWrap w:val="0"/>
            <w:vAlign w:val="center"/>
          </w:tcPr>
          <w:p w14:paraId="08B011EB">
            <w:pPr>
              <w:widowControl/>
              <w:spacing w:line="240" w:lineRule="exact"/>
              <w:jc w:val="center"/>
              <w:rPr>
                <w:rFonts w:hint="default" w:ascii="仿宋_GB2312" w:hAnsi="仿宋_GB2312" w:eastAsia="仿宋_GB2312" w:cs="仿宋_GB2312"/>
                <w:color w:val="000000"/>
                <w:sz w:val="22"/>
                <w:szCs w:val="22"/>
                <w:highlight w:val="none"/>
                <w:lang w:val="en" w:eastAsia="zh-CN"/>
              </w:rPr>
            </w:pPr>
            <w:r>
              <w:rPr>
                <w:rFonts w:hint="default" w:ascii="仿宋_GB2312" w:hAnsi="仿宋_GB2312" w:eastAsia="仿宋_GB2312" w:cs="仿宋_GB2312"/>
                <w:color w:val="000000"/>
                <w:sz w:val="22"/>
                <w:szCs w:val="22"/>
                <w:highlight w:val="none"/>
                <w:lang w:val="en" w:eastAsia="zh-CN"/>
              </w:rPr>
              <w:t>1</w:t>
            </w:r>
          </w:p>
        </w:tc>
        <w:tc>
          <w:tcPr>
            <w:tcW w:w="974" w:type="dxa"/>
            <w:tcBorders>
              <w:top w:val="nil"/>
              <w:left w:val="nil"/>
              <w:bottom w:val="single" w:color="auto" w:sz="4" w:space="0"/>
              <w:right w:val="single" w:color="auto" w:sz="4" w:space="0"/>
            </w:tcBorders>
            <w:noWrap w:val="0"/>
            <w:vAlign w:val="center"/>
          </w:tcPr>
          <w:p w14:paraId="6AC0CD2B">
            <w:pPr>
              <w:widowControl/>
              <w:spacing w:line="240" w:lineRule="exact"/>
              <w:jc w:val="center"/>
              <w:rPr>
                <w:rFonts w:hint="default" w:ascii="仿宋_GB2312" w:hAnsi="仿宋_GB2312" w:eastAsia="仿宋_GB2312" w:cs="仿宋_GB2312"/>
                <w:color w:val="000000"/>
                <w:sz w:val="22"/>
                <w:szCs w:val="22"/>
                <w:highlight w:val="none"/>
                <w:lang w:val="en" w:eastAsia="zh-CN"/>
              </w:rPr>
            </w:pPr>
            <w:r>
              <w:rPr>
                <w:rFonts w:hint="default" w:ascii="仿宋_GB2312" w:hAnsi="仿宋_GB2312" w:eastAsia="仿宋_GB2312" w:cs="仿宋_GB2312"/>
                <w:color w:val="000000"/>
                <w:sz w:val="22"/>
                <w:szCs w:val="22"/>
                <w:highlight w:val="none"/>
                <w:lang w:val="en" w:eastAsia="zh-CN"/>
              </w:rPr>
              <w:t>1</w:t>
            </w:r>
          </w:p>
        </w:tc>
        <w:tc>
          <w:tcPr>
            <w:tcW w:w="1405" w:type="dxa"/>
            <w:tcBorders>
              <w:top w:val="nil"/>
              <w:left w:val="nil"/>
              <w:bottom w:val="single" w:color="auto" w:sz="4" w:space="0"/>
              <w:right w:val="single" w:color="auto" w:sz="4" w:space="0"/>
            </w:tcBorders>
            <w:noWrap w:val="0"/>
            <w:vAlign w:val="center"/>
          </w:tcPr>
          <w:p w14:paraId="39DEC361">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7D21B053">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4C3FB486">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restart"/>
            <w:tcBorders>
              <w:top w:val="single" w:color="auto" w:sz="4" w:space="0"/>
              <w:left w:val="nil"/>
              <w:bottom w:val="single" w:color="auto" w:sz="4" w:space="0"/>
              <w:right w:val="single" w:color="auto" w:sz="4" w:space="0"/>
            </w:tcBorders>
            <w:noWrap w:val="0"/>
            <w:vAlign w:val="center"/>
          </w:tcPr>
          <w:p w14:paraId="6CAE0279">
            <w:pPr>
              <w:widowControl/>
              <w:spacing w:line="24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效益指标（30分）</w:t>
            </w:r>
          </w:p>
          <w:p w14:paraId="5CCDD4D3">
            <w:pPr>
              <w:widowControl/>
              <w:spacing w:line="24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w:t>
            </w:r>
          </w:p>
        </w:tc>
        <w:tc>
          <w:tcPr>
            <w:tcW w:w="1069" w:type="dxa"/>
            <w:tcBorders>
              <w:top w:val="single" w:color="auto" w:sz="4" w:space="0"/>
              <w:left w:val="single" w:color="auto" w:sz="4" w:space="0"/>
              <w:bottom w:val="single" w:color="auto" w:sz="4" w:space="0"/>
              <w:right w:val="single" w:color="auto" w:sz="4" w:space="0"/>
            </w:tcBorders>
            <w:noWrap w:val="0"/>
            <w:vAlign w:val="center"/>
          </w:tcPr>
          <w:p w14:paraId="13660C26">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经济效</w:t>
            </w:r>
          </w:p>
          <w:p w14:paraId="4A657CDE">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益指标</w:t>
            </w:r>
          </w:p>
        </w:tc>
        <w:tc>
          <w:tcPr>
            <w:tcW w:w="1556" w:type="dxa"/>
            <w:tcBorders>
              <w:top w:val="single" w:color="auto" w:sz="4" w:space="0"/>
              <w:left w:val="single" w:color="auto" w:sz="4" w:space="0"/>
              <w:bottom w:val="single" w:color="auto" w:sz="4" w:space="0"/>
              <w:right w:val="single" w:color="auto" w:sz="4" w:space="0"/>
            </w:tcBorders>
            <w:noWrap w:val="0"/>
            <w:vAlign w:val="center"/>
          </w:tcPr>
          <w:p w14:paraId="0127D0C5">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不适用</w:t>
            </w:r>
          </w:p>
        </w:tc>
        <w:tc>
          <w:tcPr>
            <w:tcW w:w="1044" w:type="dxa"/>
            <w:tcBorders>
              <w:top w:val="single" w:color="auto" w:sz="4" w:space="0"/>
              <w:left w:val="nil"/>
              <w:bottom w:val="single" w:color="auto" w:sz="4" w:space="0"/>
              <w:right w:val="single" w:color="auto" w:sz="4" w:space="0"/>
            </w:tcBorders>
            <w:noWrap w:val="0"/>
            <w:vAlign w:val="center"/>
          </w:tcPr>
          <w:p w14:paraId="0BB12CE8">
            <w:pPr>
              <w:widowControl/>
              <w:spacing w:line="240" w:lineRule="exact"/>
              <w:jc w:val="both"/>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不适用</w:t>
            </w:r>
          </w:p>
        </w:tc>
        <w:tc>
          <w:tcPr>
            <w:tcW w:w="939" w:type="dxa"/>
            <w:tcBorders>
              <w:top w:val="single" w:color="auto" w:sz="4" w:space="0"/>
              <w:left w:val="nil"/>
              <w:bottom w:val="single" w:color="auto" w:sz="4" w:space="0"/>
              <w:right w:val="single" w:color="auto" w:sz="4" w:space="0"/>
            </w:tcBorders>
            <w:noWrap w:val="0"/>
            <w:vAlign w:val="center"/>
          </w:tcPr>
          <w:p w14:paraId="7C251503">
            <w:pPr>
              <w:widowControl/>
              <w:spacing w:line="240" w:lineRule="exact"/>
              <w:jc w:val="both"/>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不适用</w:t>
            </w:r>
          </w:p>
        </w:tc>
        <w:tc>
          <w:tcPr>
            <w:tcW w:w="657" w:type="dxa"/>
            <w:tcBorders>
              <w:top w:val="nil"/>
              <w:left w:val="nil"/>
              <w:bottom w:val="single" w:color="auto" w:sz="4" w:space="0"/>
              <w:right w:val="single" w:color="auto" w:sz="4" w:space="0"/>
            </w:tcBorders>
            <w:noWrap w:val="0"/>
            <w:vAlign w:val="center"/>
          </w:tcPr>
          <w:p w14:paraId="02519695">
            <w:pPr>
              <w:widowControl/>
              <w:spacing w:line="240" w:lineRule="exact"/>
              <w:jc w:val="left"/>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0</w:t>
            </w:r>
          </w:p>
        </w:tc>
        <w:tc>
          <w:tcPr>
            <w:tcW w:w="974" w:type="dxa"/>
            <w:tcBorders>
              <w:top w:val="nil"/>
              <w:left w:val="nil"/>
              <w:bottom w:val="single" w:color="auto" w:sz="4" w:space="0"/>
              <w:right w:val="single" w:color="auto" w:sz="4" w:space="0"/>
            </w:tcBorders>
            <w:noWrap w:val="0"/>
            <w:vAlign w:val="center"/>
          </w:tcPr>
          <w:p w14:paraId="612CEBBD">
            <w:pPr>
              <w:widowControl/>
              <w:spacing w:line="240" w:lineRule="exact"/>
              <w:jc w:val="left"/>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0</w:t>
            </w:r>
          </w:p>
        </w:tc>
        <w:tc>
          <w:tcPr>
            <w:tcW w:w="1405" w:type="dxa"/>
            <w:tcBorders>
              <w:top w:val="nil"/>
              <w:left w:val="nil"/>
              <w:bottom w:val="single" w:color="auto" w:sz="4" w:space="0"/>
              <w:right w:val="single" w:color="auto" w:sz="4" w:space="0"/>
            </w:tcBorders>
            <w:noWrap w:val="0"/>
            <w:vAlign w:val="center"/>
          </w:tcPr>
          <w:p w14:paraId="0ED6CA59">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3D24A4EA">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301E4E5F">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nil"/>
              <w:bottom w:val="single" w:color="auto" w:sz="4" w:space="0"/>
              <w:right w:val="single" w:color="auto" w:sz="4" w:space="0"/>
            </w:tcBorders>
            <w:noWrap w:val="0"/>
            <w:vAlign w:val="center"/>
          </w:tcPr>
          <w:p w14:paraId="5AB3FE1A">
            <w:pPr>
              <w:spacing w:line="240" w:lineRule="exact"/>
              <w:jc w:val="left"/>
              <w:rPr>
                <w:rFonts w:hint="eastAsia" w:ascii="仿宋_GB2312" w:hAnsi="仿宋_GB2312" w:eastAsia="仿宋_GB2312" w:cs="仿宋_GB2312"/>
                <w:color w:val="000000"/>
                <w:sz w:val="24"/>
                <w:szCs w:val="24"/>
                <w:highlight w:val="none"/>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2F2C4E32">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社会效</w:t>
            </w:r>
          </w:p>
          <w:p w14:paraId="309C9794">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益指标</w:t>
            </w:r>
          </w:p>
        </w:tc>
        <w:tc>
          <w:tcPr>
            <w:tcW w:w="1556" w:type="dxa"/>
            <w:tcBorders>
              <w:top w:val="single" w:color="auto" w:sz="4" w:space="0"/>
              <w:left w:val="nil"/>
              <w:bottom w:val="single" w:color="auto" w:sz="4" w:space="0"/>
              <w:right w:val="single" w:color="auto" w:sz="4" w:space="0"/>
            </w:tcBorders>
            <w:noWrap w:val="0"/>
            <w:vAlign w:val="center"/>
          </w:tcPr>
          <w:p w14:paraId="60136D83">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面向社会提供公益服务，确保市容卫生整洁。</w:t>
            </w:r>
          </w:p>
        </w:tc>
        <w:tc>
          <w:tcPr>
            <w:tcW w:w="1044" w:type="dxa"/>
            <w:tcBorders>
              <w:top w:val="nil"/>
              <w:left w:val="nil"/>
              <w:bottom w:val="single" w:color="auto" w:sz="4" w:space="0"/>
              <w:right w:val="single" w:color="auto" w:sz="4" w:space="0"/>
            </w:tcBorders>
            <w:noWrap w:val="0"/>
            <w:vAlign w:val="center"/>
          </w:tcPr>
          <w:p w14:paraId="0A9C4CB3">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社会效益较好</w:t>
            </w:r>
          </w:p>
        </w:tc>
        <w:tc>
          <w:tcPr>
            <w:tcW w:w="939" w:type="dxa"/>
            <w:tcBorders>
              <w:top w:val="nil"/>
              <w:left w:val="nil"/>
              <w:bottom w:val="single" w:color="auto" w:sz="4" w:space="0"/>
              <w:right w:val="single" w:color="auto" w:sz="4" w:space="0"/>
            </w:tcBorders>
            <w:noWrap w:val="0"/>
            <w:vAlign w:val="center"/>
          </w:tcPr>
          <w:p w14:paraId="0ED5DE7B">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100%</w:t>
            </w:r>
          </w:p>
        </w:tc>
        <w:tc>
          <w:tcPr>
            <w:tcW w:w="657" w:type="dxa"/>
            <w:tcBorders>
              <w:top w:val="nil"/>
              <w:left w:val="nil"/>
              <w:bottom w:val="single" w:color="auto" w:sz="4" w:space="0"/>
              <w:right w:val="single" w:color="auto" w:sz="4" w:space="0"/>
            </w:tcBorders>
            <w:noWrap w:val="0"/>
            <w:vAlign w:val="center"/>
          </w:tcPr>
          <w:p w14:paraId="66A03E34">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w:t>
            </w:r>
          </w:p>
        </w:tc>
        <w:tc>
          <w:tcPr>
            <w:tcW w:w="974" w:type="dxa"/>
            <w:tcBorders>
              <w:top w:val="nil"/>
              <w:left w:val="nil"/>
              <w:bottom w:val="single" w:color="auto" w:sz="4" w:space="0"/>
              <w:right w:val="single" w:color="auto" w:sz="4" w:space="0"/>
            </w:tcBorders>
            <w:noWrap w:val="0"/>
            <w:vAlign w:val="center"/>
          </w:tcPr>
          <w:p w14:paraId="0766F0E4">
            <w:pPr>
              <w:widowControl/>
              <w:spacing w:line="240" w:lineRule="exact"/>
              <w:jc w:val="left"/>
              <w:rPr>
                <w:rFonts w:hint="default" w:ascii="仿宋_GB2312" w:hAnsi="仿宋_GB2312" w:eastAsia="仿宋_GB2312" w:cs="仿宋_GB2312"/>
                <w:color w:val="auto"/>
                <w:sz w:val="22"/>
                <w:szCs w:val="22"/>
                <w:highlight w:val="none"/>
                <w:lang w:val="en" w:eastAsia="zh-CN"/>
              </w:rPr>
            </w:pPr>
            <w:r>
              <w:rPr>
                <w:rFonts w:hint="eastAsia" w:ascii="仿宋_GB2312" w:hAnsi="仿宋_GB2312" w:eastAsia="仿宋_GB2312" w:cs="仿宋_GB2312"/>
                <w:color w:val="auto"/>
                <w:sz w:val="22"/>
                <w:szCs w:val="22"/>
                <w:highlight w:val="none"/>
              </w:rPr>
              <w:t>　</w:t>
            </w:r>
            <w:r>
              <w:rPr>
                <w:rFonts w:hint="default" w:ascii="仿宋_GB2312" w:hAnsi="仿宋_GB2312" w:eastAsia="仿宋_GB2312" w:cs="仿宋_GB2312"/>
                <w:color w:val="auto"/>
                <w:sz w:val="22"/>
                <w:szCs w:val="22"/>
                <w:highlight w:val="none"/>
                <w:lang w:val="en" w:eastAsia="zh-CN"/>
              </w:rPr>
              <w:t>9</w:t>
            </w:r>
          </w:p>
        </w:tc>
        <w:tc>
          <w:tcPr>
            <w:tcW w:w="1405" w:type="dxa"/>
            <w:tcBorders>
              <w:top w:val="nil"/>
              <w:left w:val="nil"/>
              <w:bottom w:val="single" w:color="auto" w:sz="4" w:space="0"/>
              <w:right w:val="single" w:color="auto" w:sz="4" w:space="0"/>
            </w:tcBorders>
            <w:noWrap w:val="0"/>
            <w:vAlign w:val="center"/>
          </w:tcPr>
          <w:p w14:paraId="47824EBD">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43E443C9">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1C8E5A5D">
            <w:pPr>
              <w:spacing w:line="240" w:lineRule="exact"/>
              <w:jc w:val="left"/>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nil"/>
              <w:bottom w:val="single" w:color="auto" w:sz="4" w:space="0"/>
              <w:right w:val="single" w:color="auto" w:sz="4" w:space="0"/>
            </w:tcBorders>
            <w:noWrap w:val="0"/>
            <w:vAlign w:val="center"/>
          </w:tcPr>
          <w:p w14:paraId="43ED2BB9">
            <w:pPr>
              <w:spacing w:line="240" w:lineRule="exact"/>
              <w:jc w:val="left"/>
              <w:rPr>
                <w:rFonts w:hint="eastAsia" w:ascii="仿宋_GB2312" w:hAnsi="仿宋_GB2312" w:eastAsia="仿宋_GB2312" w:cs="仿宋_GB2312"/>
                <w:color w:val="000000"/>
                <w:sz w:val="24"/>
                <w:szCs w:val="24"/>
                <w:highlight w:val="none"/>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5C6FD4CB">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生态效</w:t>
            </w:r>
          </w:p>
          <w:p w14:paraId="3ECBB9A7">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益指标</w:t>
            </w:r>
          </w:p>
        </w:tc>
        <w:tc>
          <w:tcPr>
            <w:tcW w:w="1556" w:type="dxa"/>
            <w:tcBorders>
              <w:top w:val="single" w:color="auto" w:sz="4" w:space="0"/>
              <w:left w:val="single" w:color="auto" w:sz="4" w:space="0"/>
              <w:bottom w:val="single" w:color="auto" w:sz="4" w:space="0"/>
              <w:right w:val="single" w:color="auto" w:sz="4" w:space="0"/>
            </w:tcBorders>
            <w:noWrap w:val="0"/>
            <w:vAlign w:val="center"/>
          </w:tcPr>
          <w:p w14:paraId="1D2370B9">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按环保要求达标处理，降低环境污染，推动生态文明建设。</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7C621BEB">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保护环境</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7BA35B7B">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100%</w:t>
            </w:r>
          </w:p>
        </w:tc>
        <w:tc>
          <w:tcPr>
            <w:tcW w:w="657" w:type="dxa"/>
            <w:tcBorders>
              <w:top w:val="single" w:color="auto" w:sz="4" w:space="0"/>
              <w:left w:val="single" w:color="auto" w:sz="4" w:space="0"/>
              <w:bottom w:val="single" w:color="auto" w:sz="4" w:space="0"/>
              <w:right w:val="single" w:color="auto" w:sz="4" w:space="0"/>
            </w:tcBorders>
            <w:noWrap w:val="0"/>
            <w:vAlign w:val="center"/>
          </w:tcPr>
          <w:p w14:paraId="531F1FD1">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w:t>
            </w:r>
          </w:p>
        </w:tc>
        <w:tc>
          <w:tcPr>
            <w:tcW w:w="974" w:type="dxa"/>
            <w:tcBorders>
              <w:top w:val="single" w:color="auto" w:sz="4" w:space="0"/>
              <w:left w:val="single" w:color="auto" w:sz="4" w:space="0"/>
              <w:bottom w:val="single" w:color="auto" w:sz="4" w:space="0"/>
              <w:right w:val="single" w:color="auto" w:sz="4" w:space="0"/>
            </w:tcBorders>
            <w:noWrap w:val="0"/>
            <w:vAlign w:val="center"/>
          </w:tcPr>
          <w:p w14:paraId="5A96AF33">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w:t>
            </w:r>
          </w:p>
        </w:tc>
        <w:tc>
          <w:tcPr>
            <w:tcW w:w="1405" w:type="dxa"/>
            <w:tcBorders>
              <w:top w:val="single" w:color="auto" w:sz="4" w:space="0"/>
              <w:left w:val="single" w:color="auto" w:sz="4" w:space="0"/>
              <w:bottom w:val="single" w:color="auto" w:sz="4" w:space="0"/>
              <w:right w:val="single" w:color="auto" w:sz="4" w:space="0"/>
            </w:tcBorders>
            <w:noWrap w:val="0"/>
            <w:vAlign w:val="center"/>
          </w:tcPr>
          <w:p w14:paraId="4A47C447">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19F04529">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right w:val="single" w:color="auto" w:sz="4" w:space="0"/>
            </w:tcBorders>
            <w:noWrap w:val="0"/>
            <w:vAlign w:val="center"/>
          </w:tcPr>
          <w:p w14:paraId="0939E65D">
            <w:pPr>
              <w:widowControl/>
              <w:spacing w:line="240" w:lineRule="exact"/>
              <w:jc w:val="center"/>
              <w:rPr>
                <w:rFonts w:hint="eastAsia" w:ascii="仿宋_GB2312" w:hAnsi="仿宋_GB2312" w:eastAsia="仿宋_GB2312" w:cs="仿宋_GB2312"/>
                <w:color w:val="000000"/>
                <w:sz w:val="24"/>
                <w:szCs w:val="24"/>
                <w:highlight w:val="none"/>
              </w:rPr>
            </w:pPr>
          </w:p>
        </w:tc>
        <w:tc>
          <w:tcPr>
            <w:tcW w:w="968" w:type="dxa"/>
            <w:vMerge w:val="continue"/>
            <w:tcBorders>
              <w:top w:val="single" w:color="auto" w:sz="4" w:space="0"/>
              <w:left w:val="nil"/>
              <w:bottom w:val="single" w:color="auto" w:sz="4" w:space="0"/>
              <w:right w:val="single" w:color="auto" w:sz="4" w:space="0"/>
            </w:tcBorders>
            <w:noWrap w:val="0"/>
            <w:vAlign w:val="center"/>
          </w:tcPr>
          <w:p w14:paraId="0FCB2C72">
            <w:pPr>
              <w:widowControl/>
              <w:spacing w:line="240" w:lineRule="exact"/>
              <w:jc w:val="left"/>
              <w:rPr>
                <w:rFonts w:hint="eastAsia" w:ascii="仿宋_GB2312" w:hAnsi="仿宋_GB2312" w:eastAsia="仿宋_GB2312" w:cs="仿宋_GB2312"/>
                <w:color w:val="000000"/>
                <w:sz w:val="24"/>
                <w:szCs w:val="24"/>
                <w:highlight w:val="none"/>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77EA070F">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可持续影响指标</w:t>
            </w:r>
          </w:p>
        </w:tc>
        <w:tc>
          <w:tcPr>
            <w:tcW w:w="1556" w:type="dxa"/>
            <w:tcBorders>
              <w:top w:val="single" w:color="auto" w:sz="4" w:space="0"/>
              <w:left w:val="single" w:color="auto" w:sz="4" w:space="0"/>
              <w:bottom w:val="single" w:color="auto" w:sz="4" w:space="0"/>
              <w:right w:val="single" w:color="auto" w:sz="4" w:space="0"/>
            </w:tcBorders>
            <w:noWrap w:val="0"/>
            <w:vAlign w:val="center"/>
          </w:tcPr>
          <w:p w14:paraId="19CB8C65">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可持续影响</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3ABBC3A2">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有</w:t>
            </w:r>
            <w:r>
              <w:rPr>
                <w:rFonts w:hint="eastAsia" w:ascii="仿宋_GB2312" w:hAnsi="仿宋_GB2312" w:eastAsia="仿宋_GB2312" w:cs="仿宋_GB2312"/>
                <w:color w:val="000000"/>
                <w:sz w:val="22"/>
                <w:szCs w:val="22"/>
                <w:highlight w:val="none"/>
              </w:rPr>
              <w:t>可持续影响</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533B029A">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100%</w:t>
            </w:r>
          </w:p>
        </w:tc>
        <w:tc>
          <w:tcPr>
            <w:tcW w:w="657" w:type="dxa"/>
            <w:tcBorders>
              <w:top w:val="single" w:color="auto" w:sz="4" w:space="0"/>
              <w:left w:val="single" w:color="auto" w:sz="4" w:space="0"/>
              <w:bottom w:val="single" w:color="auto" w:sz="4" w:space="0"/>
              <w:right w:val="single" w:color="auto" w:sz="4" w:space="0"/>
            </w:tcBorders>
            <w:noWrap w:val="0"/>
            <w:vAlign w:val="center"/>
          </w:tcPr>
          <w:p w14:paraId="6971E473">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val="en-US" w:eastAsia="zh-CN"/>
              </w:rPr>
              <w:t>10</w:t>
            </w:r>
          </w:p>
        </w:tc>
        <w:tc>
          <w:tcPr>
            <w:tcW w:w="974" w:type="dxa"/>
            <w:tcBorders>
              <w:top w:val="single" w:color="auto" w:sz="4" w:space="0"/>
              <w:left w:val="single" w:color="auto" w:sz="4" w:space="0"/>
              <w:bottom w:val="single" w:color="auto" w:sz="4" w:space="0"/>
              <w:right w:val="single" w:color="auto" w:sz="4" w:space="0"/>
            </w:tcBorders>
            <w:noWrap w:val="0"/>
            <w:vAlign w:val="center"/>
          </w:tcPr>
          <w:p w14:paraId="338E8545">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w:t>
            </w:r>
          </w:p>
        </w:tc>
        <w:tc>
          <w:tcPr>
            <w:tcW w:w="1405" w:type="dxa"/>
            <w:tcBorders>
              <w:top w:val="single" w:color="auto" w:sz="4" w:space="0"/>
              <w:left w:val="single" w:color="auto" w:sz="4" w:space="0"/>
              <w:bottom w:val="single" w:color="auto" w:sz="4" w:space="0"/>
              <w:right w:val="single" w:color="auto" w:sz="4" w:space="0"/>
            </w:tcBorders>
            <w:noWrap w:val="0"/>
            <w:vAlign w:val="center"/>
          </w:tcPr>
          <w:p w14:paraId="131945E4">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67B70A6C">
        <w:tblPrEx>
          <w:tblCellMar>
            <w:top w:w="0" w:type="dxa"/>
            <w:left w:w="108" w:type="dxa"/>
            <w:bottom w:w="0" w:type="dxa"/>
            <w:right w:w="108" w:type="dxa"/>
          </w:tblCellMar>
        </w:tblPrEx>
        <w:trPr>
          <w:cantSplit/>
          <w:trHeight w:val="0" w:hRule="atLeast"/>
          <w:jc w:val="center"/>
        </w:trPr>
        <w:tc>
          <w:tcPr>
            <w:tcW w:w="807" w:type="dxa"/>
            <w:vMerge w:val="continue"/>
            <w:tcBorders>
              <w:left w:val="single" w:color="auto" w:sz="4" w:space="0"/>
              <w:bottom w:val="single" w:color="auto" w:sz="4" w:space="0"/>
              <w:right w:val="single" w:color="auto" w:sz="4" w:space="0"/>
            </w:tcBorders>
            <w:noWrap w:val="0"/>
            <w:vAlign w:val="center"/>
          </w:tcPr>
          <w:p w14:paraId="7B47F4FC">
            <w:pPr>
              <w:spacing w:line="240" w:lineRule="exact"/>
              <w:jc w:val="left"/>
              <w:rPr>
                <w:rFonts w:hint="eastAsia" w:ascii="仿宋_GB2312" w:hAnsi="仿宋_GB2312" w:eastAsia="仿宋_GB2312" w:cs="仿宋_GB2312"/>
                <w:color w:val="000000"/>
                <w:sz w:val="24"/>
                <w:szCs w:val="24"/>
                <w:highlight w:val="none"/>
              </w:rPr>
            </w:pPr>
          </w:p>
        </w:tc>
        <w:tc>
          <w:tcPr>
            <w:tcW w:w="968" w:type="dxa"/>
            <w:tcBorders>
              <w:top w:val="single" w:color="auto" w:sz="4" w:space="0"/>
              <w:left w:val="nil"/>
              <w:bottom w:val="single" w:color="auto" w:sz="4" w:space="0"/>
              <w:right w:val="single" w:color="auto" w:sz="4" w:space="0"/>
            </w:tcBorders>
            <w:noWrap w:val="0"/>
            <w:vAlign w:val="center"/>
          </w:tcPr>
          <w:p w14:paraId="4A8A6456">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满意度</w:t>
            </w:r>
          </w:p>
          <w:p w14:paraId="2D557D73">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指标</w:t>
            </w:r>
          </w:p>
          <w:p w14:paraId="23C31AED">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（10分）</w:t>
            </w:r>
          </w:p>
        </w:tc>
        <w:tc>
          <w:tcPr>
            <w:tcW w:w="1069" w:type="dxa"/>
            <w:tcBorders>
              <w:top w:val="single" w:color="auto" w:sz="4" w:space="0"/>
              <w:left w:val="nil"/>
              <w:bottom w:val="single" w:color="auto" w:sz="4" w:space="0"/>
              <w:right w:val="single" w:color="auto" w:sz="4" w:space="0"/>
            </w:tcBorders>
            <w:noWrap w:val="0"/>
            <w:vAlign w:val="center"/>
          </w:tcPr>
          <w:p w14:paraId="496B5B69">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服务对象满意度指标</w:t>
            </w:r>
          </w:p>
        </w:tc>
        <w:tc>
          <w:tcPr>
            <w:tcW w:w="1556" w:type="dxa"/>
            <w:tcBorders>
              <w:top w:val="nil"/>
              <w:left w:val="nil"/>
              <w:bottom w:val="single" w:color="auto" w:sz="4" w:space="0"/>
              <w:right w:val="single" w:color="auto" w:sz="4" w:space="0"/>
            </w:tcBorders>
            <w:noWrap w:val="0"/>
            <w:vAlign w:val="center"/>
          </w:tcPr>
          <w:p w14:paraId="1FA9DC13">
            <w:pPr>
              <w:widowControl/>
              <w:spacing w:line="240" w:lineRule="exact"/>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满意</w:t>
            </w:r>
          </w:p>
        </w:tc>
        <w:tc>
          <w:tcPr>
            <w:tcW w:w="1044" w:type="dxa"/>
            <w:tcBorders>
              <w:top w:val="nil"/>
              <w:left w:val="nil"/>
              <w:bottom w:val="single" w:color="auto" w:sz="4" w:space="0"/>
              <w:right w:val="single" w:color="auto" w:sz="4" w:space="0"/>
            </w:tcBorders>
            <w:noWrap w:val="0"/>
            <w:vAlign w:val="center"/>
          </w:tcPr>
          <w:p w14:paraId="3D78EF14">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满意度≧90</w:t>
            </w:r>
          </w:p>
        </w:tc>
        <w:tc>
          <w:tcPr>
            <w:tcW w:w="939" w:type="dxa"/>
            <w:tcBorders>
              <w:top w:val="nil"/>
              <w:left w:val="nil"/>
              <w:bottom w:val="single" w:color="auto" w:sz="4" w:space="0"/>
              <w:right w:val="single" w:color="auto" w:sz="4" w:space="0"/>
            </w:tcBorders>
            <w:noWrap w:val="0"/>
            <w:vAlign w:val="center"/>
          </w:tcPr>
          <w:p w14:paraId="35B42542">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100%</w:t>
            </w:r>
          </w:p>
        </w:tc>
        <w:tc>
          <w:tcPr>
            <w:tcW w:w="657" w:type="dxa"/>
            <w:tcBorders>
              <w:top w:val="nil"/>
              <w:left w:val="nil"/>
              <w:bottom w:val="single" w:color="auto" w:sz="4" w:space="0"/>
              <w:right w:val="single" w:color="auto" w:sz="4" w:space="0"/>
            </w:tcBorders>
            <w:noWrap w:val="0"/>
            <w:vAlign w:val="center"/>
          </w:tcPr>
          <w:p w14:paraId="23CFBA98">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w:t>
            </w:r>
          </w:p>
        </w:tc>
        <w:tc>
          <w:tcPr>
            <w:tcW w:w="974" w:type="dxa"/>
            <w:tcBorders>
              <w:top w:val="nil"/>
              <w:left w:val="nil"/>
              <w:bottom w:val="single" w:color="auto" w:sz="4" w:space="0"/>
              <w:right w:val="single" w:color="auto" w:sz="4" w:space="0"/>
            </w:tcBorders>
            <w:noWrap w:val="0"/>
            <w:vAlign w:val="center"/>
          </w:tcPr>
          <w:p w14:paraId="48062108">
            <w:pPr>
              <w:widowControl/>
              <w:spacing w:line="240" w:lineRule="exact"/>
              <w:jc w:val="left"/>
              <w:rPr>
                <w:rFonts w:hint="default"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rPr>
              <w:t>　</w:t>
            </w:r>
            <w:r>
              <w:rPr>
                <w:rFonts w:hint="eastAsia" w:ascii="仿宋_GB2312" w:hAnsi="仿宋_GB2312" w:eastAsia="仿宋_GB2312" w:cs="仿宋_GB2312"/>
                <w:color w:val="000000"/>
                <w:sz w:val="22"/>
                <w:szCs w:val="22"/>
                <w:highlight w:val="none"/>
                <w:lang w:val="en-US" w:eastAsia="zh-CN"/>
              </w:rPr>
              <w:t>10</w:t>
            </w:r>
          </w:p>
        </w:tc>
        <w:tc>
          <w:tcPr>
            <w:tcW w:w="1405" w:type="dxa"/>
            <w:tcBorders>
              <w:top w:val="nil"/>
              <w:left w:val="nil"/>
              <w:bottom w:val="single" w:color="auto" w:sz="4" w:space="0"/>
              <w:right w:val="single" w:color="auto" w:sz="4" w:space="0"/>
            </w:tcBorders>
            <w:noWrap w:val="0"/>
            <w:vAlign w:val="center"/>
          </w:tcPr>
          <w:p w14:paraId="0A3370A8">
            <w:pPr>
              <w:widowControl/>
              <w:spacing w:line="240" w:lineRule="exact"/>
              <w:jc w:val="left"/>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rPr>
              <w:t>　</w:t>
            </w:r>
          </w:p>
        </w:tc>
      </w:tr>
      <w:tr w14:paraId="26115165">
        <w:tblPrEx>
          <w:tblCellMar>
            <w:top w:w="0" w:type="dxa"/>
            <w:left w:w="108" w:type="dxa"/>
            <w:bottom w:w="0" w:type="dxa"/>
            <w:right w:w="108" w:type="dxa"/>
          </w:tblCellMar>
        </w:tblPrEx>
        <w:trPr>
          <w:cantSplit/>
          <w:trHeight w:val="690" w:hRule="atLeast"/>
          <w:jc w:val="center"/>
        </w:trPr>
        <w:tc>
          <w:tcPr>
            <w:tcW w:w="6383" w:type="dxa"/>
            <w:gridSpan w:val="6"/>
            <w:tcBorders>
              <w:top w:val="single" w:color="auto" w:sz="4" w:space="0"/>
              <w:left w:val="single" w:color="auto" w:sz="4" w:space="0"/>
              <w:bottom w:val="single" w:color="auto" w:sz="4" w:space="0"/>
              <w:right w:val="single" w:color="auto" w:sz="4" w:space="0"/>
            </w:tcBorders>
            <w:noWrap w:val="0"/>
            <w:vAlign w:val="center"/>
          </w:tcPr>
          <w:p w14:paraId="5690B575">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总分</w:t>
            </w:r>
          </w:p>
        </w:tc>
        <w:tc>
          <w:tcPr>
            <w:tcW w:w="657" w:type="dxa"/>
            <w:tcBorders>
              <w:top w:val="single" w:color="auto" w:sz="4" w:space="0"/>
              <w:left w:val="single" w:color="auto" w:sz="4" w:space="0"/>
              <w:bottom w:val="single" w:color="auto" w:sz="4" w:space="0"/>
              <w:right w:val="single" w:color="auto" w:sz="4" w:space="0"/>
            </w:tcBorders>
            <w:noWrap w:val="0"/>
            <w:vAlign w:val="center"/>
          </w:tcPr>
          <w:p w14:paraId="23468F3D">
            <w:pPr>
              <w:widowControl/>
              <w:spacing w:line="24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100</w:t>
            </w:r>
          </w:p>
        </w:tc>
        <w:tc>
          <w:tcPr>
            <w:tcW w:w="974" w:type="dxa"/>
            <w:tcBorders>
              <w:top w:val="single" w:color="auto" w:sz="4" w:space="0"/>
              <w:left w:val="single" w:color="auto" w:sz="4" w:space="0"/>
              <w:bottom w:val="single" w:color="auto" w:sz="4" w:space="0"/>
              <w:right w:val="single" w:color="auto" w:sz="4" w:space="0"/>
            </w:tcBorders>
            <w:noWrap w:val="0"/>
            <w:vAlign w:val="center"/>
          </w:tcPr>
          <w:p w14:paraId="62E61EEA">
            <w:pPr>
              <w:widowControl/>
              <w:spacing w:line="240" w:lineRule="exact"/>
              <w:jc w:val="left"/>
              <w:rPr>
                <w:rFonts w:hint="default" w:ascii="仿宋_GB2312" w:hAnsi="仿宋_GB2312" w:eastAsia="仿宋_GB2312" w:cs="仿宋_GB2312"/>
                <w:color w:val="FF0000"/>
                <w:sz w:val="24"/>
                <w:szCs w:val="24"/>
                <w:highlight w:val="none"/>
                <w:lang w:val="en-US" w:eastAsia="zh-CN"/>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97.7</w:t>
            </w:r>
          </w:p>
        </w:tc>
        <w:tc>
          <w:tcPr>
            <w:tcW w:w="1405" w:type="dxa"/>
            <w:tcBorders>
              <w:top w:val="single" w:color="auto" w:sz="4" w:space="0"/>
              <w:left w:val="single" w:color="auto" w:sz="4" w:space="0"/>
              <w:bottom w:val="single" w:color="auto" w:sz="4" w:space="0"/>
              <w:right w:val="single" w:color="auto" w:sz="4" w:space="0"/>
            </w:tcBorders>
            <w:noWrap w:val="0"/>
            <w:vAlign w:val="center"/>
          </w:tcPr>
          <w:p w14:paraId="740198F5">
            <w:pPr>
              <w:widowControl/>
              <w:spacing w:line="240" w:lineRule="exact"/>
              <w:jc w:val="left"/>
              <w:rPr>
                <w:rFonts w:hint="eastAsia" w:ascii="仿宋_GB2312" w:hAnsi="仿宋_GB2312" w:eastAsia="仿宋_GB2312" w:cs="仿宋_GB2312"/>
                <w:color w:val="FF0000"/>
                <w:sz w:val="24"/>
                <w:szCs w:val="24"/>
                <w:highlight w:val="none"/>
              </w:rPr>
            </w:pPr>
            <w:r>
              <w:rPr>
                <w:rFonts w:hint="eastAsia" w:ascii="仿宋_GB2312" w:hAnsi="仿宋_GB2312" w:eastAsia="仿宋_GB2312" w:cs="仿宋_GB2312"/>
                <w:color w:val="FF0000"/>
                <w:sz w:val="24"/>
                <w:szCs w:val="24"/>
                <w:highlight w:val="none"/>
              </w:rPr>
              <w:t>　</w:t>
            </w:r>
          </w:p>
        </w:tc>
      </w:tr>
    </w:tbl>
    <w:p w14:paraId="4774A29B">
      <w:pPr>
        <w:widowControl/>
        <w:spacing w:line="600" w:lineRule="exact"/>
        <w:jc w:val="both"/>
        <w:rPr>
          <w:rFonts w:hint="eastAsia" w:ascii="CESI仿宋-GB2312" w:hAnsi="CESI仿宋-GB2312" w:eastAsia="CESI仿宋-GB2312" w:cs="CESI仿宋-GB2312"/>
          <w:lang w:val="en-US" w:eastAsia="zh-CN"/>
        </w:rPr>
      </w:pPr>
      <w:r>
        <w:rPr>
          <w:rFonts w:hint="eastAsia" w:ascii="CESI仿宋-GB2312" w:hAnsi="CESI仿宋-GB2312" w:eastAsia="CESI仿宋-GB2312" w:cs="CESI仿宋-GB2312"/>
          <w:sz w:val="24"/>
          <w:szCs w:val="24"/>
          <w:highlight w:val="none"/>
        </w:rPr>
        <w:t>填表人：</w:t>
      </w:r>
      <w:r>
        <w:rPr>
          <w:rFonts w:hint="eastAsia" w:ascii="CESI仿宋-GB2312" w:hAnsi="CESI仿宋-GB2312" w:eastAsia="CESI仿宋-GB2312" w:cs="CESI仿宋-GB2312"/>
          <w:sz w:val="24"/>
          <w:szCs w:val="24"/>
          <w:highlight w:val="none"/>
          <w:lang w:val="en-US" w:eastAsia="zh-CN"/>
        </w:rPr>
        <w:t>范青华</w:t>
      </w:r>
      <w:r>
        <w:rPr>
          <w:rFonts w:hint="eastAsia" w:ascii="CESI仿宋-GB2312" w:hAnsi="CESI仿宋-GB2312" w:eastAsia="CESI仿宋-GB2312" w:cs="CESI仿宋-GB2312"/>
          <w:sz w:val="24"/>
          <w:szCs w:val="24"/>
          <w:highlight w:val="none"/>
        </w:rPr>
        <w:t xml:space="preserve"> 填报日期：</w:t>
      </w:r>
      <w:r>
        <w:rPr>
          <w:rFonts w:hint="eastAsia" w:ascii="CESI仿宋-GB2312" w:hAnsi="CESI仿宋-GB2312" w:eastAsia="CESI仿宋-GB2312" w:cs="CESI仿宋-GB2312"/>
          <w:sz w:val="24"/>
          <w:szCs w:val="24"/>
          <w:highlight w:val="none"/>
          <w:lang w:val="en-US" w:eastAsia="zh-CN"/>
        </w:rPr>
        <w:t xml:space="preserve">2026.6.10 </w:t>
      </w:r>
      <w:r>
        <w:rPr>
          <w:rFonts w:hint="eastAsia" w:ascii="CESI仿宋-GB2312" w:hAnsi="CESI仿宋-GB2312" w:eastAsia="CESI仿宋-GB2312" w:cs="CESI仿宋-GB2312"/>
          <w:sz w:val="24"/>
          <w:szCs w:val="24"/>
          <w:highlight w:val="none"/>
        </w:rPr>
        <w:t>联系电话</w:t>
      </w:r>
      <w:r>
        <w:rPr>
          <w:rFonts w:hint="eastAsia" w:ascii="CESI仿宋-GB2312" w:hAnsi="CESI仿宋-GB2312" w:eastAsia="CESI仿宋-GB2312" w:cs="CESI仿宋-GB2312"/>
          <w:sz w:val="24"/>
          <w:szCs w:val="24"/>
          <w:highlight w:val="none"/>
          <w:lang w:eastAsia="zh-CN"/>
        </w:rPr>
        <w:t>：</w:t>
      </w:r>
      <w:r>
        <w:rPr>
          <w:rFonts w:hint="eastAsia" w:ascii="CESI仿宋-GB2312" w:hAnsi="CESI仿宋-GB2312" w:eastAsia="CESI仿宋-GB2312" w:cs="CESI仿宋-GB2312"/>
          <w:sz w:val="24"/>
          <w:szCs w:val="24"/>
          <w:highlight w:val="none"/>
          <w:lang w:val="en-US" w:eastAsia="zh-CN"/>
        </w:rPr>
        <w:t xml:space="preserve">13575050559  </w:t>
      </w:r>
      <w:r>
        <w:rPr>
          <w:rFonts w:hint="eastAsia" w:ascii="CESI仿宋-GB2312" w:hAnsi="CESI仿宋-GB2312" w:eastAsia="CESI仿宋-GB2312" w:cs="CESI仿宋-GB2312"/>
          <w:sz w:val="24"/>
          <w:szCs w:val="24"/>
          <w:highlight w:val="none"/>
        </w:rPr>
        <w:t>单位负责人：</w:t>
      </w:r>
      <w:r>
        <w:rPr>
          <w:rFonts w:hint="eastAsia" w:ascii="CESI仿宋-GB2312" w:hAnsi="CESI仿宋-GB2312" w:eastAsia="CESI仿宋-GB2312" w:cs="CESI仿宋-GB2312"/>
          <w:sz w:val="24"/>
          <w:szCs w:val="24"/>
          <w:highlight w:val="none"/>
          <w:lang w:val="en-US" w:eastAsia="zh-CN"/>
        </w:rPr>
        <w:t>何红奎</w:t>
      </w:r>
      <w:bookmarkStart w:id="0" w:name="_GoBack"/>
      <w:bookmarkEnd w:id="0"/>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2C91E3-48A3-4CD7-81CE-DE8CF0D681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4772BE1-3F98-4DC3-88BE-E18011E0A166}"/>
  </w:font>
  <w:font w:name="仿宋">
    <w:panose1 w:val="02010609060101010101"/>
    <w:charset w:val="86"/>
    <w:family w:val="auto"/>
    <w:pitch w:val="default"/>
    <w:sig w:usb0="800002BF" w:usb1="38CF7CFA" w:usb2="00000016" w:usb3="00000000" w:csb0="00040001" w:csb1="00000000"/>
  </w:font>
  <w:font w:name="???-18030">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3" w:fontKey="{8B977E77-5776-4BAA-88C4-74B1A2649514}"/>
  </w:font>
  <w:font w:name="仿宋_GB2312">
    <w:panose1 w:val="02010609030101010101"/>
    <w:charset w:val="86"/>
    <w:family w:val="auto"/>
    <w:pitch w:val="default"/>
    <w:sig w:usb0="00000001" w:usb1="080E0000" w:usb2="00000000" w:usb3="00000000" w:csb0="00040000" w:csb1="00000000"/>
    <w:embedRegular r:id="rId4" w:fontKey="{2B234720-AC8F-4699-9FCC-C27E8B52C37A}"/>
  </w:font>
  <w:font w:name="方正楷体_GB2312">
    <w:panose1 w:val="02000000000000000000"/>
    <w:charset w:val="86"/>
    <w:family w:val="auto"/>
    <w:pitch w:val="default"/>
    <w:sig w:usb0="A00002BF" w:usb1="184F6CFA" w:usb2="00000012" w:usb3="00000000" w:csb0="00040001" w:csb1="00000000"/>
    <w:embedRegular r:id="rId5" w:fontKey="{3814B6CA-7B07-4222-8542-B0CDC2AC4018}"/>
  </w:font>
  <w:font w:name="楷体_GB2312">
    <w:panose1 w:val="02010609030101010101"/>
    <w:charset w:val="86"/>
    <w:family w:val="modern"/>
    <w:pitch w:val="default"/>
    <w:sig w:usb0="00000001" w:usb1="080E0000" w:usb2="00000000" w:usb3="00000000" w:csb0="00040000" w:csb1="00000000"/>
    <w:embedRegular r:id="rId6" w:fontKey="{0D46764C-13A5-4110-B800-9F83E757D26D}"/>
  </w:font>
  <w:font w:name="楷体">
    <w:panose1 w:val="02010609060101010101"/>
    <w:charset w:val="86"/>
    <w:family w:val="auto"/>
    <w:pitch w:val="default"/>
    <w:sig w:usb0="800002BF" w:usb1="38CF7CFA" w:usb2="00000016" w:usb3="00000000" w:csb0="00040001" w:csb1="00000000"/>
    <w:embedRegular r:id="rId7" w:fontKey="{AC870DFC-3770-4A73-97F3-8AD2A5F196FC}"/>
  </w:font>
  <w:font w:name="方正仿宋_GB2312">
    <w:panose1 w:val="02000000000000000000"/>
    <w:charset w:val="86"/>
    <w:family w:val="auto"/>
    <w:pitch w:val="default"/>
    <w:sig w:usb0="A00002BF" w:usb1="184F6CFA" w:usb2="00000012" w:usb3="00000000" w:csb0="00040001" w:csb1="00000000"/>
    <w:embedRegular r:id="rId8" w:fontKey="{107B9BBA-5EE3-4913-8A38-13C64D874654}"/>
  </w:font>
  <w:font w:name="CESI仿宋-GB2312">
    <w:altName w:val="仿宋"/>
    <w:panose1 w:val="02000500000000000000"/>
    <w:charset w:val="86"/>
    <w:family w:val="auto"/>
    <w:pitch w:val="default"/>
    <w:sig w:usb0="00000000" w:usb1="00000000" w:usb2="00000010" w:usb3="00000000" w:csb0="0004000F" w:csb1="00000000"/>
    <w:embedRegular r:id="rId9" w:fontKey="{377DFA86-D313-4D32-8B7A-7BCFC367C0FD}"/>
  </w:font>
  <w:font w:name="WPSEMBED1">
    <w:panose1 w:val="02000000000000000000"/>
    <w:charset w:val="86"/>
    <w:family w:val="auto"/>
    <w:pitch w:val="default"/>
    <w:sig w:usb0="A00002BF" w:usb1="184F6CFA" w:usb2="00000012" w:usb3="00000000" w:csb0="00040001" w:csb1="00000000"/>
  </w:font>
  <w:font w:name="WPSEMBED2">
    <w:panose1 w:val="02010609030101010101"/>
    <w:charset w:val="86"/>
    <w:family w:val="auto"/>
    <w:pitch w:val="default"/>
    <w:sig w:usb0="00000001" w:usb1="080E0000" w:usb2="00000000" w:usb3="00000000" w:csb0="00040000" w:csb1="00000000"/>
  </w:font>
  <w:font w:name="KSOF557087D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CF7380"/>
    <w:multiLevelType w:val="singleLevel"/>
    <w:tmpl w:val="8BCF7380"/>
    <w:lvl w:ilvl="0" w:tentative="0">
      <w:start w:val="2"/>
      <w:numFmt w:val="chineseCounting"/>
      <w:suff w:val="nothing"/>
      <w:lvlText w:val="（%1）"/>
      <w:lvlJc w:val="left"/>
      <w:rPr>
        <w:rFonts w:hint="eastAsia"/>
      </w:rPr>
    </w:lvl>
  </w:abstractNum>
  <w:abstractNum w:abstractNumId="1">
    <w:nsid w:val="57BB7C99"/>
    <w:multiLevelType w:val="singleLevel"/>
    <w:tmpl w:val="57BB7C99"/>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yY2E3YmI1NjkzYTQxNmRiMTBhODljMmE2ZjRhYWEifQ=="/>
  </w:docVars>
  <w:rsids>
    <w:rsidRoot w:val="437A3123"/>
    <w:rsid w:val="00AA4EFD"/>
    <w:rsid w:val="01B97F5E"/>
    <w:rsid w:val="02D92CB1"/>
    <w:rsid w:val="02E2490D"/>
    <w:rsid w:val="0324288B"/>
    <w:rsid w:val="048F00EF"/>
    <w:rsid w:val="05401479"/>
    <w:rsid w:val="05895CD0"/>
    <w:rsid w:val="0619523D"/>
    <w:rsid w:val="066833E1"/>
    <w:rsid w:val="07057095"/>
    <w:rsid w:val="0757624F"/>
    <w:rsid w:val="07A169EA"/>
    <w:rsid w:val="083438D1"/>
    <w:rsid w:val="0874698D"/>
    <w:rsid w:val="08A131FB"/>
    <w:rsid w:val="09D52056"/>
    <w:rsid w:val="0A466107"/>
    <w:rsid w:val="0A4B01C2"/>
    <w:rsid w:val="0AA42BA0"/>
    <w:rsid w:val="0D957AD2"/>
    <w:rsid w:val="0D98311E"/>
    <w:rsid w:val="0E76105A"/>
    <w:rsid w:val="106824BC"/>
    <w:rsid w:val="10EC60E7"/>
    <w:rsid w:val="1323348A"/>
    <w:rsid w:val="13C52385"/>
    <w:rsid w:val="158137F6"/>
    <w:rsid w:val="1626658A"/>
    <w:rsid w:val="162F1390"/>
    <w:rsid w:val="17AE60AB"/>
    <w:rsid w:val="198A30A4"/>
    <w:rsid w:val="199944A6"/>
    <w:rsid w:val="1A2E3AA5"/>
    <w:rsid w:val="1B600F5E"/>
    <w:rsid w:val="1BA2027C"/>
    <w:rsid w:val="1CDC4DD5"/>
    <w:rsid w:val="1DBF38CA"/>
    <w:rsid w:val="1DF755DD"/>
    <w:rsid w:val="1F5A3B1F"/>
    <w:rsid w:val="1FB26E76"/>
    <w:rsid w:val="1FF6A427"/>
    <w:rsid w:val="207E61A3"/>
    <w:rsid w:val="2082393B"/>
    <w:rsid w:val="20BB2F53"/>
    <w:rsid w:val="22E140FA"/>
    <w:rsid w:val="22E83DA8"/>
    <w:rsid w:val="23CD2307"/>
    <w:rsid w:val="241E3C54"/>
    <w:rsid w:val="24517956"/>
    <w:rsid w:val="2522687E"/>
    <w:rsid w:val="257F78CA"/>
    <w:rsid w:val="267623A4"/>
    <w:rsid w:val="268B4570"/>
    <w:rsid w:val="26DC6727"/>
    <w:rsid w:val="28B95E41"/>
    <w:rsid w:val="28EF37DA"/>
    <w:rsid w:val="29303854"/>
    <w:rsid w:val="2BFD1A59"/>
    <w:rsid w:val="2C5724E3"/>
    <w:rsid w:val="2D5B7F98"/>
    <w:rsid w:val="2DFD4901"/>
    <w:rsid w:val="2E0D6D2D"/>
    <w:rsid w:val="2EF11958"/>
    <w:rsid w:val="2FFD8220"/>
    <w:rsid w:val="30562FD4"/>
    <w:rsid w:val="31A32B49"/>
    <w:rsid w:val="32026611"/>
    <w:rsid w:val="3240150B"/>
    <w:rsid w:val="32672B75"/>
    <w:rsid w:val="32E6563C"/>
    <w:rsid w:val="337E3C58"/>
    <w:rsid w:val="33BF7845"/>
    <w:rsid w:val="33DE7071"/>
    <w:rsid w:val="35C24B15"/>
    <w:rsid w:val="35CF507F"/>
    <w:rsid w:val="36853F32"/>
    <w:rsid w:val="380462CD"/>
    <w:rsid w:val="3A2F10AE"/>
    <w:rsid w:val="3ADB6274"/>
    <w:rsid w:val="3B7346FF"/>
    <w:rsid w:val="3BFB2C65"/>
    <w:rsid w:val="3DEC1C8C"/>
    <w:rsid w:val="3E24344E"/>
    <w:rsid w:val="3F204B9E"/>
    <w:rsid w:val="3F965E62"/>
    <w:rsid w:val="3F9F9EE5"/>
    <w:rsid w:val="3FB517B3"/>
    <w:rsid w:val="3FBE6DB2"/>
    <w:rsid w:val="3FFF947B"/>
    <w:rsid w:val="406B49A5"/>
    <w:rsid w:val="429562DA"/>
    <w:rsid w:val="437A3123"/>
    <w:rsid w:val="43C81392"/>
    <w:rsid w:val="44706D9C"/>
    <w:rsid w:val="4481094E"/>
    <w:rsid w:val="44AA6EF2"/>
    <w:rsid w:val="46681373"/>
    <w:rsid w:val="47AB6B38"/>
    <w:rsid w:val="4849245A"/>
    <w:rsid w:val="48CF15AE"/>
    <w:rsid w:val="49BE39EB"/>
    <w:rsid w:val="4C3C28EB"/>
    <w:rsid w:val="4C7C718B"/>
    <w:rsid w:val="4C987096"/>
    <w:rsid w:val="4CFB53F5"/>
    <w:rsid w:val="4D197444"/>
    <w:rsid w:val="4DB72DCC"/>
    <w:rsid w:val="4DDF79D2"/>
    <w:rsid w:val="4EF45240"/>
    <w:rsid w:val="4F910A8F"/>
    <w:rsid w:val="50EE59E1"/>
    <w:rsid w:val="50F949AC"/>
    <w:rsid w:val="52E02D70"/>
    <w:rsid w:val="53EA6381"/>
    <w:rsid w:val="54260519"/>
    <w:rsid w:val="559612BE"/>
    <w:rsid w:val="55A847C2"/>
    <w:rsid w:val="566E4641"/>
    <w:rsid w:val="5830574E"/>
    <w:rsid w:val="583152CE"/>
    <w:rsid w:val="58386F6C"/>
    <w:rsid w:val="59C632B7"/>
    <w:rsid w:val="59DB1995"/>
    <w:rsid w:val="59E392D8"/>
    <w:rsid w:val="5A43120C"/>
    <w:rsid w:val="5A7877AA"/>
    <w:rsid w:val="5AF235BC"/>
    <w:rsid w:val="5B0C4E1E"/>
    <w:rsid w:val="5E5169FC"/>
    <w:rsid w:val="5EDF10A8"/>
    <w:rsid w:val="5F5C5326"/>
    <w:rsid w:val="5FFB1A48"/>
    <w:rsid w:val="60775E28"/>
    <w:rsid w:val="635236FB"/>
    <w:rsid w:val="63707A97"/>
    <w:rsid w:val="63C87805"/>
    <w:rsid w:val="63E93F23"/>
    <w:rsid w:val="659B25C1"/>
    <w:rsid w:val="66545B6B"/>
    <w:rsid w:val="66A33C00"/>
    <w:rsid w:val="66DC6D4D"/>
    <w:rsid w:val="672A736D"/>
    <w:rsid w:val="686A37D9"/>
    <w:rsid w:val="687E3EE3"/>
    <w:rsid w:val="689C2C4E"/>
    <w:rsid w:val="68ED6FE4"/>
    <w:rsid w:val="6A0A3A4F"/>
    <w:rsid w:val="6A204463"/>
    <w:rsid w:val="6A2D5D80"/>
    <w:rsid w:val="6AD3471A"/>
    <w:rsid w:val="6B382482"/>
    <w:rsid w:val="6B5949F9"/>
    <w:rsid w:val="6B664D09"/>
    <w:rsid w:val="6B761117"/>
    <w:rsid w:val="6B9676EB"/>
    <w:rsid w:val="6BE7589F"/>
    <w:rsid w:val="6BFFF848"/>
    <w:rsid w:val="6C793E03"/>
    <w:rsid w:val="6C901A93"/>
    <w:rsid w:val="6CCB258D"/>
    <w:rsid w:val="6D3117EE"/>
    <w:rsid w:val="6D3F762A"/>
    <w:rsid w:val="6EFF8D62"/>
    <w:rsid w:val="6FF20C4F"/>
    <w:rsid w:val="7056191E"/>
    <w:rsid w:val="717A4DD7"/>
    <w:rsid w:val="71BFC881"/>
    <w:rsid w:val="72231F2B"/>
    <w:rsid w:val="72365D0D"/>
    <w:rsid w:val="72373328"/>
    <w:rsid w:val="72450403"/>
    <w:rsid w:val="72660C5F"/>
    <w:rsid w:val="72D13C5F"/>
    <w:rsid w:val="72FF4856"/>
    <w:rsid w:val="741714DE"/>
    <w:rsid w:val="74653B9B"/>
    <w:rsid w:val="749317F8"/>
    <w:rsid w:val="754957E4"/>
    <w:rsid w:val="75AB461C"/>
    <w:rsid w:val="75CF7AAE"/>
    <w:rsid w:val="75DEF1B0"/>
    <w:rsid w:val="75DF4163"/>
    <w:rsid w:val="766F88F8"/>
    <w:rsid w:val="76CC4A4F"/>
    <w:rsid w:val="788048C3"/>
    <w:rsid w:val="78882890"/>
    <w:rsid w:val="78E201F2"/>
    <w:rsid w:val="7C0E702F"/>
    <w:rsid w:val="7C743857"/>
    <w:rsid w:val="7D7F5F93"/>
    <w:rsid w:val="7E3A5A79"/>
    <w:rsid w:val="7E8844EF"/>
    <w:rsid w:val="7F1153D3"/>
    <w:rsid w:val="7F5A6C71"/>
    <w:rsid w:val="7FB6162C"/>
    <w:rsid w:val="7FDB6944"/>
    <w:rsid w:val="7FEB93AC"/>
    <w:rsid w:val="7FEF790B"/>
    <w:rsid w:val="7FEFF878"/>
    <w:rsid w:val="7FFF4D78"/>
    <w:rsid w:val="8C67F941"/>
    <w:rsid w:val="8FFF3DE6"/>
    <w:rsid w:val="AF3FE6B4"/>
    <w:rsid w:val="B2FB5A01"/>
    <w:rsid w:val="B36F2468"/>
    <w:rsid w:val="B3FE25F0"/>
    <w:rsid w:val="BBFF2AE1"/>
    <w:rsid w:val="BEFF3208"/>
    <w:rsid w:val="BF7F1548"/>
    <w:rsid w:val="BFFC516A"/>
    <w:rsid w:val="CBBE06F0"/>
    <w:rsid w:val="CE4445B0"/>
    <w:rsid w:val="CFFE8C89"/>
    <w:rsid w:val="D47AA082"/>
    <w:rsid w:val="D77FFC47"/>
    <w:rsid w:val="D8FF3348"/>
    <w:rsid w:val="DFCE81B0"/>
    <w:rsid w:val="DFF3B656"/>
    <w:rsid w:val="EF9E4E2C"/>
    <w:rsid w:val="EFEF6F4A"/>
    <w:rsid w:val="EFF7C033"/>
    <w:rsid w:val="EFFB8954"/>
    <w:rsid w:val="F3FF5833"/>
    <w:rsid w:val="F5788A47"/>
    <w:rsid w:val="F5EBC4F3"/>
    <w:rsid w:val="F6B77422"/>
    <w:rsid w:val="F7FB707F"/>
    <w:rsid w:val="F85F2096"/>
    <w:rsid w:val="F97F4B1C"/>
    <w:rsid w:val="FBFD1863"/>
    <w:rsid w:val="FD6EFC56"/>
    <w:rsid w:val="FDEB29CF"/>
    <w:rsid w:val="FEBF93F9"/>
    <w:rsid w:val="FF77BCA5"/>
    <w:rsid w:val="FFCF19C9"/>
    <w:rsid w:val="FFE713FC"/>
    <w:rsid w:val="FFFBAC95"/>
    <w:rsid w:val="FFFDC73B"/>
    <w:rsid w:val="FFFF7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宋体" w:cs="Times New Roman"/>
      <w:kern w:val="0"/>
      <w:sz w:val="28"/>
      <w:szCs w:val="24"/>
      <w:lang w:val="en-US" w:eastAsia="zh-CN" w:bidi="ar-SA"/>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style>
  <w:style w:type="paragraph" w:styleId="3">
    <w:name w:val="Subtitle"/>
    <w:basedOn w:val="1"/>
    <w:next w:val="1"/>
    <w:qFormat/>
    <w:uiPriority w:val="0"/>
    <w:pPr>
      <w:widowControl/>
      <w:wordWrap w:val="0"/>
      <w:jc w:val="center"/>
    </w:pPr>
    <w:rPr>
      <w:kern w:val="0"/>
      <w:sz w:val="24"/>
      <w:szCs w:val="24"/>
    </w:rPr>
  </w:style>
  <w:style w:type="paragraph" w:styleId="5">
    <w:name w:val="toa heading"/>
    <w:basedOn w:val="1"/>
    <w:next w:val="1"/>
    <w:qFormat/>
    <w:uiPriority w:val="99"/>
    <w:pPr>
      <w:spacing w:before="120" w:after="200" w:line="276" w:lineRule="auto"/>
    </w:pPr>
    <w:rPr>
      <w:rFonts w:ascii="Arial" w:hAnsi="Arial"/>
      <w:sz w:val="24"/>
    </w:rPr>
  </w:style>
  <w:style w:type="paragraph" w:styleId="6">
    <w:name w:val="annotation text"/>
    <w:basedOn w:val="1"/>
    <w:qFormat/>
    <w:uiPriority w:val="0"/>
    <w:pPr>
      <w:jc w:val="left"/>
    </w:pPr>
  </w:style>
  <w:style w:type="paragraph" w:styleId="7">
    <w:name w:val="Body Text"/>
    <w:basedOn w:val="1"/>
    <w:semiHidden/>
    <w:qFormat/>
    <w:uiPriority w:val="0"/>
    <w:rPr>
      <w:rFonts w:ascii="仿宋" w:hAnsi="仿宋" w:eastAsia="仿宋" w:cs="仿宋"/>
      <w:sz w:val="31"/>
      <w:szCs w:val="31"/>
      <w:lang w:val="en-US" w:eastAsia="en-US" w:bidi="ar-SA"/>
    </w:rPr>
  </w:style>
  <w:style w:type="paragraph" w:styleId="8">
    <w:name w:val="toc 5"/>
    <w:basedOn w:val="1"/>
    <w:next w:val="1"/>
    <w:qFormat/>
    <w:uiPriority w:val="0"/>
    <w:pPr>
      <w:ind w:left="1680" w:leftChars="800"/>
    </w:pPr>
  </w:style>
  <w:style w:type="paragraph" w:styleId="9">
    <w:name w:val="Normal (Web)"/>
    <w:basedOn w:val="1"/>
    <w:qFormat/>
    <w:uiPriority w:val="0"/>
    <w:rPr>
      <w:sz w:val="24"/>
    </w:rPr>
  </w:style>
  <w:style w:type="paragraph" w:styleId="10">
    <w:name w:val="Body Text First Indent"/>
    <w:basedOn w:val="7"/>
    <w:unhideWhenUsed/>
    <w:qFormat/>
    <w:uiPriority w:val="99"/>
    <w:pPr>
      <w:ind w:firstLine="420" w:firstLineChars="100"/>
    </w:pPr>
  </w:style>
  <w:style w:type="paragraph" w:styleId="13">
    <w:name w:val="List Paragraph"/>
    <w:basedOn w:val="1"/>
    <w:qFormat/>
    <w:uiPriority w:val="99"/>
    <w:pPr>
      <w:ind w:firstLine="420" w:firstLineChars="200"/>
    </w:pPr>
    <w:rPr>
      <w:rFonts w:ascii="Calibri" w:hAnsi="Calibri"/>
      <w:szCs w:val="22"/>
    </w:rPr>
  </w:style>
  <w:style w:type="paragraph" w:customStyle="1" w:styleId="14">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18030" w:hAnsi="???-18030" w:cs="???-18030"/>
      <w:kern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7294</Words>
  <Characters>7805</Characters>
  <Lines>0</Lines>
  <Paragraphs>0</Paragraphs>
  <TotalTime>61</TotalTime>
  <ScaleCrop>false</ScaleCrop>
  <LinksUpToDate>false</LinksUpToDate>
  <CharactersWithSpaces>8010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2024-06-19T03:34:00Z</dcterms:created>
  <dc:creator>fan</dc:creator>
  <cp:lastModifiedBy>初心</cp:lastModifiedBy>
  <cp:lastPrinted>2026-06-15T07:59:00Z</cp:lastPrinted>
  <dcterms:modified xsi:type="dcterms:W3CDTF">2026-09-24T03:04:17Z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763D9E0C6AFD4A4D8F445EB01D51AA13_13</vt:lpwstr>
  </property>
  <property fmtid="{D5CDD505-2E9C-101B-9397-08002B2CF9AE}" pid="4" name="KSOTemplateDocerSaveRecord">
    <vt:lpwstr>eyJoZGlkIjoiOTkyNTY0YTAwZjIyMDZlZDkzNjgxZDc5OGJhNGM2MWMiLCJ1c2VySWQiOiI0NDgyMzEwNjYifQ==</vt:lpwstr>
  </property>
</Properties>
</file>