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2C5DE">
      <w:pPr>
        <w:pStyle w:val="17"/>
        <w:jc w:val="center"/>
        <w:rPr>
          <w:sz w:val="56"/>
          <w:szCs w:val="56"/>
        </w:rPr>
      </w:pPr>
    </w:p>
    <w:p w14:paraId="2923727F">
      <w:pPr>
        <w:pStyle w:val="17"/>
        <w:jc w:val="center"/>
        <w:rPr>
          <w:sz w:val="56"/>
          <w:szCs w:val="56"/>
        </w:rPr>
      </w:pPr>
    </w:p>
    <w:p w14:paraId="50170C09">
      <w:pPr>
        <w:pStyle w:val="17"/>
        <w:jc w:val="center"/>
        <w:rPr>
          <w:sz w:val="84"/>
          <w:szCs w:val="84"/>
        </w:rPr>
      </w:pPr>
    </w:p>
    <w:p w14:paraId="31F01CFE">
      <w:pPr>
        <w:pStyle w:val="17"/>
        <w:jc w:val="both"/>
        <w:rPr>
          <w:sz w:val="84"/>
          <w:szCs w:val="84"/>
        </w:rPr>
      </w:pPr>
    </w:p>
    <w:p w14:paraId="134E5B8D">
      <w:pPr>
        <w:pStyle w:val="17"/>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lang w:eastAsia="zh-CN"/>
        </w:rPr>
        <w:t>年度</w:t>
      </w:r>
    </w:p>
    <w:p w14:paraId="54CF13A3">
      <w:pPr>
        <w:pStyle w:val="17"/>
        <w:jc w:val="center"/>
        <w:rPr>
          <w:rFonts w:hint="eastAsia" w:ascii="方正小标宋简体" w:hAnsi="方正小标宋简体" w:eastAsia="方正小标宋简体" w:cs="方正小标宋简体"/>
          <w:b/>
          <w:bCs/>
          <w:sz w:val="72"/>
          <w:szCs w:val="72"/>
        </w:rPr>
      </w:pPr>
      <w:r>
        <w:rPr>
          <w:rFonts w:hint="eastAsia" w:ascii="方正小标宋_GBK" w:hAnsi="方正小标宋_GBK" w:eastAsia="方正小标宋_GBK" w:cs="方正小标宋_GBK"/>
          <w:sz w:val="84"/>
          <w:szCs w:val="84"/>
          <w:lang w:eastAsia="zh-CN"/>
        </w:rPr>
        <w:t>岳阳市智慧城管指挥中心部门决算</w:t>
      </w:r>
    </w:p>
    <w:p w14:paraId="594BB090">
      <w:pPr>
        <w:pStyle w:val="17"/>
        <w:jc w:val="center"/>
        <w:rPr>
          <w:rFonts w:hint="eastAsia" w:ascii="方正小标宋_GBK" w:hAnsi="方正小标宋_GBK" w:eastAsia="方正小标宋_GBK" w:cs="方正小标宋_GBK"/>
          <w:sz w:val="56"/>
          <w:szCs w:val="56"/>
        </w:rPr>
      </w:pPr>
    </w:p>
    <w:p w14:paraId="43AD1C96">
      <w:pPr>
        <w:pStyle w:val="17"/>
        <w:jc w:val="center"/>
        <w:rPr>
          <w:sz w:val="56"/>
          <w:szCs w:val="56"/>
        </w:rPr>
      </w:pPr>
    </w:p>
    <w:p w14:paraId="53254447">
      <w:pPr>
        <w:pStyle w:val="17"/>
        <w:jc w:val="center"/>
        <w:rPr>
          <w:sz w:val="56"/>
          <w:szCs w:val="56"/>
        </w:rPr>
      </w:pPr>
    </w:p>
    <w:p w14:paraId="69BF6459">
      <w:pPr>
        <w:pStyle w:val="17"/>
        <w:jc w:val="center"/>
        <w:rPr>
          <w:sz w:val="56"/>
          <w:szCs w:val="56"/>
        </w:rPr>
      </w:pPr>
    </w:p>
    <w:p w14:paraId="357CF70F">
      <w:pPr>
        <w:pStyle w:val="17"/>
        <w:jc w:val="center"/>
        <w:rPr>
          <w:sz w:val="32"/>
          <w:szCs w:val="32"/>
        </w:rPr>
      </w:pPr>
    </w:p>
    <w:p w14:paraId="67C12EA7">
      <w:pPr>
        <w:pStyle w:val="17"/>
        <w:jc w:val="center"/>
        <w:rPr>
          <w:sz w:val="32"/>
          <w:szCs w:val="32"/>
        </w:rPr>
      </w:pPr>
    </w:p>
    <w:p w14:paraId="3026B5E0">
      <w:pPr>
        <w:pStyle w:val="17"/>
        <w:jc w:val="center"/>
        <w:rPr>
          <w:sz w:val="32"/>
          <w:szCs w:val="32"/>
        </w:rPr>
      </w:pPr>
    </w:p>
    <w:p w14:paraId="60B887F8">
      <w:pPr>
        <w:pStyle w:val="17"/>
        <w:spacing w:line="500" w:lineRule="exact"/>
        <w:jc w:val="both"/>
        <w:rPr>
          <w:rFonts w:hint="eastAsia"/>
          <w:b/>
          <w:sz w:val="36"/>
          <w:szCs w:val="28"/>
        </w:rPr>
      </w:pPr>
    </w:p>
    <w:p w14:paraId="3696AB62">
      <w:pPr>
        <w:pStyle w:val="17"/>
        <w:spacing w:line="500" w:lineRule="exact"/>
        <w:jc w:val="center"/>
        <w:rPr>
          <w:b/>
          <w:sz w:val="36"/>
          <w:szCs w:val="28"/>
        </w:rPr>
      </w:pPr>
      <w:r>
        <w:rPr>
          <w:rFonts w:hint="eastAsia"/>
          <w:b/>
          <w:sz w:val="36"/>
          <w:szCs w:val="28"/>
        </w:rPr>
        <w:t>目录</w:t>
      </w:r>
    </w:p>
    <w:p w14:paraId="14B7A9E9">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color w:val="000000"/>
          <w:sz w:val="28"/>
          <w:szCs w:val="28"/>
        </w:rPr>
        <w:t>岳阳市智慧城管指挥中心</w:t>
      </w:r>
      <w:r>
        <w:rPr>
          <w:rFonts w:hint="eastAsia" w:ascii="黑体" w:hAnsi="黑体" w:eastAsia="黑体" w:cs="黑体"/>
          <w:b w:val="0"/>
          <w:bCs/>
          <w:sz w:val="28"/>
          <w:szCs w:val="28"/>
        </w:rPr>
        <w:t>单位概况</w:t>
      </w:r>
    </w:p>
    <w:p w14:paraId="7F108F6A">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B016585">
      <w:pPr>
        <w:pStyle w:val="17"/>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23168A68">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031AF9CB">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12E5FE3D">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20209514">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3B407DC">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708A4E78">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40B237A5">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22EF6FDE">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5803944A">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E7F126D">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C8C5B1F">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431FC99">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429A83C3">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72E5779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05B7E25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703BA02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74FBAC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AD86E6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772E616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w:t>
      </w:r>
      <w:r>
        <w:rPr>
          <w:rFonts w:hint="eastAsia" w:ascii="仿宋_GB2312" w:hAnsi="仿宋_GB2312" w:eastAsia="仿宋_GB2312" w:cs="仿宋_GB2312"/>
          <w:sz w:val="28"/>
          <w:szCs w:val="28"/>
        </w:rPr>
        <w:t>国有资本经营预算财政拨款支出决算</w:t>
      </w:r>
      <w:r>
        <w:rPr>
          <w:rFonts w:hint="eastAsia" w:ascii="仿宋_GB2312" w:hAnsi="仿宋_GB2312" w:eastAsia="仿宋_GB2312" w:cs="仿宋_GB2312"/>
          <w:sz w:val="28"/>
          <w:szCs w:val="28"/>
          <w:lang w:eastAsia="zh-CN"/>
        </w:rPr>
        <w:t>情况</w:t>
      </w:r>
    </w:p>
    <w:p w14:paraId="45BADE0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1CC8C05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3AC9E9D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52BE8FA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21A5697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0BF3804A">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SA"/>
        </w:rPr>
        <w:t>十四、</w:t>
      </w:r>
      <w:r>
        <w:rPr>
          <w:rFonts w:hint="eastAsia" w:ascii="仿宋_GB2312" w:hAnsi="仿宋_GB2312" w:eastAsia="仿宋_GB2312" w:cs="仿宋_GB2312"/>
          <w:sz w:val="28"/>
          <w:szCs w:val="28"/>
        </w:rPr>
        <w:t>关于202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3CCCAF45">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FCA7192">
      <w:pPr>
        <w:pStyle w:val="17"/>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6968AECD">
      <w:pPr>
        <w:pStyle w:val="17"/>
        <w:jc w:val="both"/>
        <w:rPr>
          <w:rFonts w:hint="eastAsia" w:ascii="方正小标宋_GBK" w:hAnsi="方正小标宋_GBK" w:eastAsia="方正小标宋_GBK" w:cs="方正小标宋_GBK"/>
          <w:sz w:val="48"/>
          <w:szCs w:val="48"/>
        </w:rPr>
      </w:pPr>
    </w:p>
    <w:p w14:paraId="7E3893E6">
      <w:pPr>
        <w:pStyle w:val="17"/>
        <w:jc w:val="center"/>
        <w:rPr>
          <w:rFonts w:hint="eastAsia" w:ascii="方正小标宋_GBK" w:hAnsi="方正小标宋_GBK" w:eastAsia="方正小标宋_GBK" w:cs="方正小标宋_GBK"/>
          <w:sz w:val="84"/>
          <w:szCs w:val="84"/>
        </w:rPr>
      </w:pPr>
    </w:p>
    <w:p w14:paraId="611E0C4D">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341EC482">
      <w:pPr>
        <w:pStyle w:val="17"/>
        <w:jc w:val="center"/>
        <w:rPr>
          <w:rFonts w:hint="eastAsia" w:ascii="方正小标宋_GBK" w:hAnsi="方正小标宋_GBK" w:eastAsia="方正小标宋_GBK" w:cs="方正小标宋_GBK"/>
          <w:sz w:val="84"/>
          <w:szCs w:val="84"/>
        </w:rPr>
      </w:pPr>
    </w:p>
    <w:p w14:paraId="6E0CB9C0">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岳阳市智慧城管指挥中心单位概况</w:t>
      </w:r>
    </w:p>
    <w:p w14:paraId="2581FBF9">
      <w:pPr>
        <w:pStyle w:val="17"/>
        <w:jc w:val="center"/>
        <w:rPr>
          <w:rFonts w:hint="eastAsia" w:ascii="方正小标宋_GBK" w:hAnsi="方正小标宋_GBK" w:eastAsia="方正小标宋_GBK" w:cs="方正小标宋_GBK"/>
          <w:sz w:val="84"/>
          <w:szCs w:val="84"/>
        </w:rPr>
      </w:pPr>
    </w:p>
    <w:p w14:paraId="2B33B3A5">
      <w:pPr>
        <w:pStyle w:val="17"/>
        <w:jc w:val="center"/>
        <w:rPr>
          <w:rFonts w:hint="eastAsia" w:ascii="方正小标宋_GBK" w:hAnsi="方正小标宋_GBK" w:eastAsia="方正小标宋_GBK" w:cs="方正小标宋_GBK"/>
          <w:sz w:val="84"/>
          <w:szCs w:val="84"/>
        </w:rPr>
      </w:pPr>
    </w:p>
    <w:p w14:paraId="093AE0FF">
      <w:pPr>
        <w:pStyle w:val="17"/>
        <w:jc w:val="center"/>
        <w:rPr>
          <w:rFonts w:hint="eastAsia" w:ascii="方正小标宋_GBK" w:hAnsi="方正小标宋_GBK" w:eastAsia="方正小标宋_GBK" w:cs="方正小标宋_GBK"/>
          <w:sz w:val="84"/>
          <w:szCs w:val="84"/>
        </w:rPr>
      </w:pPr>
    </w:p>
    <w:p w14:paraId="224C6BF3">
      <w:pPr>
        <w:pStyle w:val="6"/>
        <w:ind w:left="0" w:leftChars="0" w:firstLine="0" w:firstLineChars="0"/>
        <w:rPr>
          <w:rFonts w:hint="eastAsia" w:ascii="方正小标宋_GBK" w:hAnsi="方正小标宋_GBK" w:eastAsia="方正小标宋_GBK" w:cs="方正小标宋_GBK"/>
          <w:sz w:val="44"/>
          <w:szCs w:val="44"/>
        </w:rPr>
      </w:pPr>
    </w:p>
    <w:p w14:paraId="48E59E75">
      <w:pPr>
        <w:pStyle w:val="18"/>
        <w:numPr>
          <w:numId w:val="0"/>
        </w:numPr>
        <w:ind w:leftChars="0"/>
        <w:jc w:val="left"/>
        <w:rPr>
          <w:rFonts w:hint="eastAsia" w:ascii="黑体" w:hAnsi="黑体" w:eastAsia="黑体" w:cs="黑体"/>
          <w:b w:val="0"/>
          <w:bCs w:val="0"/>
          <w:sz w:val="32"/>
          <w:szCs w:val="32"/>
        </w:rPr>
      </w:pPr>
    </w:p>
    <w:p w14:paraId="3E7AFDFD">
      <w:pPr>
        <w:pStyle w:val="18"/>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24EAA110">
      <w:pPr>
        <w:widowControl/>
        <w:numPr>
          <w:ilvl w:val="0"/>
          <w:numId w:val="2"/>
        </w:numPr>
        <w:adjustRightInd/>
        <w:spacing w:line="600" w:lineRule="exact"/>
        <w:ind w:firstLine="640" w:firstLineChars="200"/>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贯彻执行国家和省有关数字化城市管理的法律法规；</w:t>
      </w:r>
    </w:p>
    <w:p w14:paraId="1B526C8F">
      <w:pPr>
        <w:widowControl/>
        <w:numPr>
          <w:ilvl w:val="0"/>
          <w:numId w:val="2"/>
        </w:numPr>
        <w:adjustRightInd/>
        <w:spacing w:line="600" w:lineRule="exact"/>
        <w:ind w:firstLine="640" w:firstLineChars="200"/>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根据授权负责中心地区数字化城市管理监督、指挥、调度和协调工作；</w:t>
      </w:r>
    </w:p>
    <w:p w14:paraId="70ECA49C">
      <w:pPr>
        <w:widowControl/>
        <w:numPr>
          <w:ilvl w:val="0"/>
          <w:numId w:val="2"/>
        </w:numPr>
        <w:adjustRightInd/>
        <w:spacing w:line="600" w:lineRule="exact"/>
        <w:ind w:firstLine="640" w:firstLineChars="200"/>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负责城市管理监督指挥系统市级平台的日常维护和管理；</w:t>
      </w:r>
    </w:p>
    <w:p w14:paraId="3523C9D8">
      <w:pPr>
        <w:widowControl/>
        <w:numPr>
          <w:ilvl w:val="0"/>
          <w:numId w:val="2"/>
        </w:numPr>
        <w:adjustRightInd/>
        <w:spacing w:line="600" w:lineRule="exact"/>
        <w:ind w:firstLine="640" w:firstLineChars="200"/>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负责对各类城市管理信息的收集、分析和整理，为城市管理现状及市级责任部门、岳阳楼区政府、岳阳经济技术开发区管委会、湖南岳阳洞庭湖旅游度假区管委会和相关责任人履行城市管事职责和情况提供考核评价的依据；</w:t>
      </w:r>
    </w:p>
    <w:p w14:paraId="651F2832">
      <w:pPr>
        <w:widowControl/>
        <w:numPr>
          <w:ilvl w:val="0"/>
          <w:numId w:val="2"/>
        </w:numPr>
        <w:adjustRightInd/>
        <w:spacing w:line="600" w:lineRule="exact"/>
        <w:ind w:firstLine="640" w:firstLineChars="200"/>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负责对数字化城市管理信息采集工作和平台受理工作进行监督；</w:t>
      </w:r>
    </w:p>
    <w:p w14:paraId="399CB83C">
      <w:pPr>
        <w:widowControl/>
        <w:numPr>
          <w:ilvl w:val="0"/>
          <w:numId w:val="2"/>
        </w:numPr>
        <w:adjustRightInd/>
        <w:spacing w:line="600" w:lineRule="exact"/>
        <w:ind w:firstLine="640" w:firstLineChars="200"/>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负责受理数字化城市管理的投诉、举报等有关工作；</w:t>
      </w:r>
    </w:p>
    <w:p w14:paraId="2C703EB5">
      <w:pPr>
        <w:widowControl/>
        <w:numPr>
          <w:ilvl w:val="0"/>
          <w:numId w:val="2"/>
        </w:numPr>
        <w:adjustRightInd/>
        <w:spacing w:line="600" w:lineRule="exact"/>
        <w:ind w:firstLine="640" w:firstLineChars="200"/>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负责对县市区数字化城市管理工作的业务指导；</w:t>
      </w:r>
    </w:p>
    <w:p w14:paraId="5A176F03">
      <w:pPr>
        <w:widowControl/>
        <w:numPr>
          <w:ilvl w:val="0"/>
          <w:numId w:val="2"/>
        </w:numPr>
        <w:adjustRightInd/>
        <w:spacing w:line="600" w:lineRule="exact"/>
        <w:ind w:firstLine="640" w:firstLineChars="200"/>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完成市委、市政府和市城管局交办的其他工作。</w:t>
      </w:r>
    </w:p>
    <w:p w14:paraId="6E44C58C">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BCB3760">
      <w:pPr>
        <w:widowControl/>
        <w:spacing w:line="600" w:lineRule="exact"/>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仿宋_GB2312"/>
          <w:bCs/>
          <w:kern w:val="0"/>
          <w:sz w:val="32"/>
          <w:szCs w:val="32"/>
        </w:rPr>
        <w:t>（一）内设机构设置。</w:t>
      </w:r>
      <w:r>
        <w:rPr>
          <w:rFonts w:hint="eastAsia" w:ascii="仿宋_GB2312" w:hAnsi="仿宋_GB2312" w:eastAsia="仿宋_GB2312" w:cs="仿宋_GB2312"/>
          <w:color w:val="000000"/>
          <w:sz w:val="32"/>
          <w:szCs w:val="32"/>
        </w:rPr>
        <w:t>岳阳市智慧城管指挥中心</w:t>
      </w:r>
      <w:r>
        <w:rPr>
          <w:rFonts w:hint="eastAsia" w:ascii="Times New Roman" w:hAnsi="Times New Roman" w:eastAsia="仿宋_GB2312" w:cs="仿宋_GB2312"/>
          <w:bCs/>
          <w:kern w:val="0"/>
          <w:sz w:val="32"/>
          <w:szCs w:val="32"/>
        </w:rPr>
        <w:t>内设机构包括：</w:t>
      </w:r>
      <w:r>
        <w:rPr>
          <w:rFonts w:hint="eastAsia" w:ascii="仿宋_GB2312" w:hAnsi="仿宋_GB2312" w:eastAsia="仿宋_GB2312" w:cs="仿宋_GB2312"/>
          <w:sz w:val="32"/>
          <w:szCs w:val="32"/>
        </w:rPr>
        <w:t>综合部、信息采集部、投诉受理部、技术保障部、网站管理部</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个职能部室。</w:t>
      </w:r>
    </w:p>
    <w:p w14:paraId="7B888997">
      <w:pPr>
        <w:ind w:firstLine="640" w:firstLineChars="200"/>
        <w:jc w:val="left"/>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w:t>
      </w:r>
      <w:r>
        <w:rPr>
          <w:rFonts w:hint="eastAsia" w:ascii="仿宋_GB2312" w:hAnsi="仿宋_GB2312" w:eastAsia="仿宋_GB2312" w:cs="仿宋_GB2312"/>
          <w:i w:val="0"/>
          <w:iCs w:val="0"/>
          <w:color w:val="auto"/>
          <w:sz w:val="32"/>
          <w:szCs w:val="32"/>
          <w:highlight w:val="white"/>
          <w:lang w:eastAsia="zh-CN"/>
        </w:rPr>
        <w:t>本单位无独立核算的下属单位，</w:t>
      </w:r>
      <w:r>
        <w:rPr>
          <w:rFonts w:hint="eastAsia" w:ascii="仿宋_GB2312" w:hAnsi="仿宋_GB2312" w:eastAsia="仿宋_GB2312" w:cs="仿宋_GB2312"/>
          <w:i w:val="0"/>
          <w:iCs w:val="0"/>
          <w:color w:val="auto"/>
          <w:sz w:val="32"/>
          <w:szCs w:val="32"/>
          <w:highlight w:val="white"/>
          <w:lang w:val="en-US" w:eastAsia="zh-CN"/>
        </w:rPr>
        <w:t>2025年度部门决算汇总公开单位仅包括</w:t>
      </w:r>
      <w:r>
        <w:rPr>
          <w:rFonts w:hint="eastAsia" w:ascii="仿宋_GB2312" w:hAnsi="仿宋_GB2312" w:eastAsia="仿宋_GB2312" w:cs="仿宋_GB2312"/>
          <w:color w:val="auto"/>
          <w:sz w:val="32"/>
          <w:szCs w:val="32"/>
        </w:rPr>
        <w:t>岳阳市智慧城管指挥中心</w:t>
      </w:r>
      <w:r>
        <w:rPr>
          <w:rFonts w:hint="eastAsia" w:ascii="仿宋_GB2312" w:hAnsi="仿宋_GB2312" w:eastAsia="仿宋_GB2312" w:cs="仿宋_GB2312"/>
          <w:i w:val="0"/>
          <w:iCs w:val="0"/>
          <w:color w:val="auto"/>
          <w:sz w:val="32"/>
          <w:szCs w:val="32"/>
          <w:highlight w:val="white"/>
          <w:lang w:val="en-US" w:eastAsia="zh-CN"/>
        </w:rPr>
        <w:t>本级</w:t>
      </w:r>
      <w:r>
        <w:rPr>
          <w:rFonts w:hint="eastAsia" w:ascii="仿宋_GB2312" w:hAnsi="仿宋_GB2312" w:eastAsia="仿宋_GB2312" w:cs="仿宋_GB2312"/>
          <w:i/>
          <w:iCs/>
          <w:color w:val="auto"/>
          <w:sz w:val="32"/>
          <w:szCs w:val="32"/>
          <w:highlight w:val="white"/>
        </w:rPr>
        <w:t>。</w:t>
      </w:r>
    </w:p>
    <w:p w14:paraId="29C73A47"/>
    <w:p w14:paraId="42CA452E">
      <w:pPr>
        <w:pStyle w:val="17"/>
        <w:jc w:val="both"/>
        <w:rPr>
          <w:rFonts w:hint="eastAsia" w:ascii="方正小标宋_GBK" w:hAnsi="方正小标宋_GBK" w:eastAsia="方正小标宋_GBK" w:cs="方正小标宋_GBK"/>
          <w:sz w:val="48"/>
          <w:szCs w:val="48"/>
        </w:rPr>
      </w:pPr>
    </w:p>
    <w:p w14:paraId="5B614B1C">
      <w:pPr>
        <w:pStyle w:val="17"/>
        <w:jc w:val="center"/>
        <w:rPr>
          <w:rFonts w:hint="eastAsia" w:ascii="方正小标宋_GBK" w:hAnsi="方正小标宋_GBK" w:eastAsia="方正小标宋_GBK" w:cs="方正小标宋_GBK"/>
          <w:sz w:val="84"/>
          <w:szCs w:val="84"/>
        </w:rPr>
      </w:pPr>
    </w:p>
    <w:p w14:paraId="5A947F49">
      <w:pPr>
        <w:pStyle w:val="17"/>
        <w:jc w:val="center"/>
        <w:rPr>
          <w:rFonts w:hint="eastAsia" w:ascii="方正小标宋_GBK" w:hAnsi="方正小标宋_GBK" w:eastAsia="方正小标宋_GBK" w:cs="方正小标宋_GBK"/>
          <w:sz w:val="84"/>
          <w:szCs w:val="84"/>
        </w:rPr>
      </w:pPr>
    </w:p>
    <w:p w14:paraId="7CE176E6">
      <w:pPr>
        <w:pStyle w:val="17"/>
        <w:jc w:val="center"/>
        <w:rPr>
          <w:rFonts w:hint="eastAsia" w:ascii="方正小标宋_GBK" w:hAnsi="方正小标宋_GBK" w:eastAsia="方正小标宋_GBK" w:cs="方正小标宋_GBK"/>
          <w:sz w:val="84"/>
          <w:szCs w:val="84"/>
        </w:rPr>
      </w:pPr>
    </w:p>
    <w:p w14:paraId="27B6285D">
      <w:pPr>
        <w:pStyle w:val="17"/>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rPr>
        <w:t>第二部分</w:t>
      </w:r>
      <w:r>
        <w:rPr>
          <w:rFonts w:hint="eastAsia" w:ascii="方正小标宋_GBK" w:hAnsi="方正小标宋_GBK" w:eastAsia="方正小标宋_GBK" w:cs="方正小标宋_GBK"/>
          <w:sz w:val="84"/>
          <w:szCs w:val="84"/>
          <w:lang w:val="en-US" w:eastAsia="zh-CN"/>
        </w:rPr>
        <w:t xml:space="preserve"> </w:t>
      </w:r>
    </w:p>
    <w:p w14:paraId="540F9F2D">
      <w:pPr>
        <w:pStyle w:val="17"/>
        <w:jc w:val="center"/>
        <w:rPr>
          <w:rFonts w:hint="eastAsia" w:ascii="方正小标宋_GBK" w:hAnsi="方正小标宋_GBK" w:eastAsia="方正小标宋_GBK" w:cs="方正小标宋_GBK"/>
          <w:sz w:val="84"/>
          <w:szCs w:val="84"/>
          <w:lang w:val="en-US" w:eastAsia="zh-CN"/>
        </w:rPr>
      </w:pPr>
    </w:p>
    <w:p w14:paraId="10106E44">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197EDDD0">
      <w:pPr>
        <w:pStyle w:val="17"/>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4C7A3A96">
      <w:pPr>
        <w:pStyle w:val="17"/>
        <w:jc w:val="center"/>
        <w:rPr>
          <w:rFonts w:hint="eastAsia" w:ascii="仿宋_GB2312" w:hAnsi="仿宋_GB2312" w:eastAsia="仿宋_GB2312" w:cs="仿宋_GB2312"/>
          <w:b w:val="0"/>
          <w:bCs w:val="0"/>
          <w:sz w:val="72"/>
          <w:szCs w:val="72"/>
          <w:lang w:eastAsia="zh-CN"/>
        </w:rPr>
      </w:pPr>
    </w:p>
    <w:p w14:paraId="0EF52A42">
      <w:pPr>
        <w:pStyle w:val="17"/>
        <w:jc w:val="both"/>
        <w:rPr>
          <w:rFonts w:hint="eastAsia" w:ascii="方正小标宋_GBK" w:hAnsi="方正小标宋_GBK" w:eastAsia="方正小标宋_GBK" w:cs="方正小标宋_GBK"/>
          <w:sz w:val="72"/>
          <w:szCs w:val="72"/>
        </w:rPr>
      </w:pPr>
    </w:p>
    <w:p w14:paraId="786599AF">
      <w:pPr>
        <w:pStyle w:val="17"/>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bCs/>
          <w:sz w:val="44"/>
          <w:szCs w:val="44"/>
        </w:rPr>
      </w:pPr>
    </w:p>
    <w:p w14:paraId="056523A1">
      <w:pPr>
        <w:pStyle w:val="17"/>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bCs/>
          <w:sz w:val="44"/>
          <w:szCs w:val="44"/>
        </w:rPr>
      </w:pPr>
    </w:p>
    <w:p w14:paraId="65D480C8">
      <w:pPr>
        <w:pStyle w:val="17"/>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bCs/>
          <w:sz w:val="44"/>
          <w:szCs w:val="44"/>
        </w:rPr>
      </w:pPr>
    </w:p>
    <w:p w14:paraId="612527CC">
      <w:pPr>
        <w:pStyle w:val="17"/>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bCs/>
          <w:sz w:val="44"/>
          <w:szCs w:val="44"/>
        </w:rPr>
      </w:pPr>
    </w:p>
    <w:p w14:paraId="7AF2C8FA">
      <w:pPr>
        <w:pStyle w:val="17"/>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bCs/>
          <w:sz w:val="44"/>
          <w:szCs w:val="44"/>
        </w:rPr>
      </w:pPr>
    </w:p>
    <w:p w14:paraId="37773FA9">
      <w:pPr>
        <w:pStyle w:val="17"/>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bCs/>
          <w:sz w:val="44"/>
          <w:szCs w:val="44"/>
        </w:rPr>
      </w:pPr>
    </w:p>
    <w:p w14:paraId="78F2C458">
      <w:pPr>
        <w:pStyle w:val="17"/>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bCs/>
          <w:sz w:val="44"/>
          <w:szCs w:val="44"/>
        </w:rPr>
      </w:pPr>
    </w:p>
    <w:p w14:paraId="06B090E1">
      <w:pPr>
        <w:pStyle w:val="17"/>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bCs/>
          <w:sz w:val="44"/>
          <w:szCs w:val="44"/>
        </w:rPr>
      </w:pPr>
    </w:p>
    <w:p w14:paraId="13510BF0">
      <w:pPr>
        <w:pStyle w:val="17"/>
        <w:jc w:val="center"/>
        <w:rPr>
          <w:rFonts w:hint="eastAsia" w:ascii="方正小标宋_GBK" w:hAnsi="方正小标宋_GBK" w:eastAsia="方正小标宋_GBK" w:cs="方正小标宋_GBK"/>
          <w:sz w:val="72"/>
          <w:szCs w:val="72"/>
        </w:rPr>
      </w:pPr>
    </w:p>
    <w:p w14:paraId="107281E3">
      <w:pPr>
        <w:pStyle w:val="17"/>
        <w:jc w:val="center"/>
        <w:rPr>
          <w:rFonts w:hint="eastAsia" w:ascii="方正小标宋_GBK" w:hAnsi="方正小标宋_GBK" w:eastAsia="方正小标宋_GBK" w:cs="方正小标宋_GBK"/>
          <w:sz w:val="72"/>
          <w:szCs w:val="72"/>
        </w:rPr>
      </w:pPr>
    </w:p>
    <w:p w14:paraId="640C619E">
      <w:pPr>
        <w:pStyle w:val="17"/>
        <w:jc w:val="center"/>
        <w:rPr>
          <w:rFonts w:hint="eastAsia" w:ascii="方正小标宋_GBK" w:hAnsi="方正小标宋_GBK" w:eastAsia="方正小标宋_GBK" w:cs="方正小标宋_GBK"/>
          <w:sz w:val="72"/>
          <w:szCs w:val="72"/>
        </w:rPr>
      </w:pPr>
    </w:p>
    <w:p w14:paraId="4B84E381">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AF18552">
      <w:pPr>
        <w:pStyle w:val="17"/>
        <w:jc w:val="center"/>
        <w:rPr>
          <w:rFonts w:hint="eastAsia" w:ascii="方正小标宋_GBK" w:hAnsi="方正小标宋_GBK" w:eastAsia="方正小标宋_GBK" w:cs="方正小标宋_GBK"/>
          <w:sz w:val="72"/>
          <w:szCs w:val="72"/>
        </w:rPr>
      </w:pPr>
    </w:p>
    <w:p w14:paraId="1EFA390C">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rPr>
        <w:t>年度部门决算情况说明</w:t>
      </w:r>
    </w:p>
    <w:p w14:paraId="74D2C923">
      <w:pPr>
        <w:pStyle w:val="17"/>
        <w:jc w:val="center"/>
        <w:rPr>
          <w:rFonts w:hint="eastAsia" w:ascii="方正小标宋_GBK" w:hAnsi="方正小标宋_GBK" w:eastAsia="方正小标宋_GBK" w:cs="方正小标宋_GBK"/>
          <w:sz w:val="72"/>
          <w:szCs w:val="72"/>
        </w:rPr>
      </w:pPr>
    </w:p>
    <w:p w14:paraId="64E743FC">
      <w:pPr>
        <w:pStyle w:val="17"/>
        <w:jc w:val="center"/>
        <w:rPr>
          <w:rFonts w:hint="eastAsia" w:ascii="方正小标宋_GBK" w:hAnsi="方正小标宋_GBK" w:eastAsia="方正小标宋_GBK" w:cs="方正小标宋_GBK"/>
          <w:sz w:val="72"/>
          <w:szCs w:val="72"/>
        </w:rPr>
      </w:pPr>
    </w:p>
    <w:p w14:paraId="5EC53E2C">
      <w:pPr>
        <w:pStyle w:val="17"/>
        <w:jc w:val="center"/>
        <w:rPr>
          <w:rFonts w:hint="eastAsia" w:ascii="方正小标宋_GBK" w:hAnsi="方正小标宋_GBK" w:eastAsia="方正小标宋_GBK" w:cs="方正小标宋_GBK"/>
          <w:sz w:val="72"/>
          <w:szCs w:val="72"/>
        </w:rPr>
      </w:pPr>
    </w:p>
    <w:p w14:paraId="5BA53ADF">
      <w:pPr>
        <w:pStyle w:val="17"/>
        <w:jc w:val="center"/>
        <w:rPr>
          <w:rFonts w:hint="eastAsia" w:ascii="方正小标宋_GBK" w:hAnsi="方正小标宋_GBK" w:eastAsia="方正小标宋_GBK" w:cs="方正小标宋_GBK"/>
          <w:sz w:val="72"/>
          <w:szCs w:val="72"/>
        </w:rPr>
      </w:pPr>
    </w:p>
    <w:p w14:paraId="57B41FBD">
      <w:pPr>
        <w:pStyle w:val="17"/>
        <w:jc w:val="center"/>
        <w:rPr>
          <w:rFonts w:hint="eastAsia" w:ascii="方正小标宋_GBK" w:hAnsi="方正小标宋_GBK" w:eastAsia="方正小标宋_GBK" w:cs="方正小标宋_GBK"/>
          <w:sz w:val="72"/>
          <w:szCs w:val="72"/>
        </w:rPr>
      </w:pPr>
    </w:p>
    <w:p w14:paraId="18EEBFDD">
      <w:pPr>
        <w:pStyle w:val="17"/>
        <w:jc w:val="both"/>
        <w:rPr>
          <w:rFonts w:hint="eastAsia" w:ascii="方正小标宋_GBK" w:hAnsi="方正小标宋_GBK" w:eastAsia="方正小标宋_GBK" w:cs="方正小标宋_GBK"/>
          <w:sz w:val="48"/>
          <w:szCs w:val="48"/>
        </w:rPr>
      </w:pPr>
    </w:p>
    <w:p w14:paraId="5A4F963D">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03F64F4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2E20F3EA">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color w:val="auto"/>
          <w:sz w:val="32"/>
          <w:szCs w:val="32"/>
          <w:lang w:val="en-US" w:eastAsia="zh-CN"/>
        </w:rPr>
        <w:t>961.56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与上年相比，</w:t>
      </w:r>
      <w:r>
        <w:rPr>
          <w:rFonts w:hint="eastAsia" w:ascii="仿宋_GB2312" w:hAnsi="仿宋_GB2312" w:eastAsia="仿宋_GB2312" w:cs="仿宋_GB2312"/>
          <w:color w:val="auto"/>
          <w:sz w:val="32"/>
          <w:szCs w:val="32"/>
          <w:lang w:eastAsia="zh-CN"/>
        </w:rPr>
        <w:t>减少</w:t>
      </w:r>
      <w:r>
        <w:rPr>
          <w:rFonts w:hint="eastAsia" w:ascii="仿宋_GB2312" w:hAnsi="仿宋_GB2312" w:eastAsia="仿宋_GB2312" w:cs="仿宋_GB2312"/>
          <w:color w:val="auto"/>
          <w:sz w:val="32"/>
          <w:szCs w:val="32"/>
          <w:lang w:val="en-US" w:eastAsia="zh-CN"/>
        </w:rPr>
        <w:t>209.88</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减少</w:t>
      </w:r>
      <w:r>
        <w:rPr>
          <w:rFonts w:hint="eastAsia" w:ascii="仿宋_GB2312" w:hAnsi="仿宋_GB2312" w:eastAsia="仿宋_GB2312" w:cs="仿宋_GB2312"/>
          <w:color w:val="auto"/>
          <w:sz w:val="32"/>
          <w:szCs w:val="32"/>
          <w:lang w:val="en-US" w:eastAsia="zh-CN"/>
        </w:rPr>
        <w:t>17.92</w:t>
      </w:r>
      <w:r>
        <w:rPr>
          <w:rFonts w:hint="eastAsia" w:ascii="仿宋_GB2312" w:hAnsi="仿宋_GB2312" w:eastAsia="仿宋_GB2312" w:cs="仿宋_GB2312"/>
          <w:color w:val="auto"/>
          <w:sz w:val="32"/>
          <w:szCs w:val="32"/>
        </w:rPr>
        <w:t>%，主要是因为</w:t>
      </w:r>
      <w:r>
        <w:rPr>
          <w:rFonts w:hint="eastAsia" w:ascii="仿宋_GB2312" w:hAnsi="仿宋_GB2312" w:eastAsia="仿宋_GB2312" w:cs="仿宋_GB2312"/>
          <w:color w:val="auto"/>
          <w:sz w:val="32"/>
          <w:szCs w:val="32"/>
          <w:lang w:eastAsia="zh-CN"/>
        </w:rPr>
        <w:t>本年财政压减了专项工作经费预算。</w:t>
      </w:r>
    </w:p>
    <w:p w14:paraId="68D08EB8">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F721DD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年度收入合计</w:t>
      </w:r>
      <w:r>
        <w:rPr>
          <w:rFonts w:hint="eastAsia" w:ascii="仿宋_GB2312" w:hAnsi="仿宋_GB2312" w:eastAsia="仿宋_GB2312" w:cs="仿宋_GB2312"/>
          <w:sz w:val="32"/>
          <w:szCs w:val="32"/>
          <w:lang w:val="en-US" w:eastAsia="zh-CN"/>
        </w:rPr>
        <w:t>961.56</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961.56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B3DB334">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54799C0">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年度支出合计</w:t>
      </w:r>
      <w:r>
        <w:rPr>
          <w:rFonts w:hint="eastAsia" w:ascii="仿宋_GB2312" w:hAnsi="仿宋_GB2312" w:eastAsia="仿宋_GB2312" w:cs="仿宋_GB2312"/>
          <w:sz w:val="32"/>
          <w:szCs w:val="32"/>
          <w:lang w:val="en-US" w:eastAsia="zh-CN"/>
        </w:rPr>
        <w:t>961.56</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403.25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41.94</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558.31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58.06</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0C2D3440">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2208CE1">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年度财政拨款收、支总计</w:t>
      </w:r>
      <w:r>
        <w:rPr>
          <w:rFonts w:hint="eastAsia" w:ascii="仿宋_GB2312" w:hAnsi="仿宋_GB2312" w:eastAsia="仿宋_GB2312" w:cs="仿宋_GB2312"/>
          <w:sz w:val="32"/>
          <w:szCs w:val="32"/>
          <w:lang w:val="en-US" w:eastAsia="zh-CN"/>
        </w:rPr>
        <w:t>961.56</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209.88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17.92</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本年财政压减了专项工作经费预算。</w:t>
      </w:r>
    </w:p>
    <w:p w14:paraId="7A3B7081">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FF0000"/>
          <w:sz w:val="32"/>
          <w:szCs w:val="32"/>
        </w:rPr>
      </w:pPr>
      <w:r>
        <w:rPr>
          <w:rFonts w:hint="eastAsia" w:ascii="黑体" w:hAnsi="黑体" w:eastAsia="黑体" w:cs="黑体"/>
          <w:b w:val="0"/>
          <w:bCs/>
          <w:color w:val="auto"/>
          <w:sz w:val="32"/>
          <w:szCs w:val="32"/>
        </w:rPr>
        <w:t>五、一般公共预算财政拨款支出决算情况说明</w:t>
      </w:r>
    </w:p>
    <w:p w14:paraId="68E84D2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5F9ECD29">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961.56</w:t>
      </w:r>
      <w:r>
        <w:rPr>
          <w:rFonts w:hint="eastAsia" w:ascii="仿宋_GB2312" w:hAnsi="仿宋_GB2312" w:eastAsia="仿宋_GB2312" w:cs="仿宋_GB2312"/>
          <w:sz w:val="32"/>
          <w:szCs w:val="32"/>
        </w:rPr>
        <w:t>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%，与上年相比，</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209.88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17.92</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本年财政压减了专项工作经费预算。</w:t>
      </w:r>
    </w:p>
    <w:p w14:paraId="24B60C83">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0DF4F6FE">
      <w:pPr>
        <w:pStyle w:val="17"/>
        <w:keepNext w:val="0"/>
        <w:keepLines w:val="0"/>
        <w:pageBreakBefore w:val="0"/>
        <w:widowControl w:val="0"/>
        <w:kinsoku/>
        <w:wordWrap/>
        <w:overflowPunct/>
        <w:topLinePunct w:val="0"/>
        <w:bidi w:val="0"/>
        <w:snapToGrid/>
        <w:spacing w:line="600" w:lineRule="exact"/>
        <w:ind w:firstLine="960" w:firstLineChars="3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年度财政拨款支出</w:t>
      </w:r>
      <w:r>
        <w:rPr>
          <w:rFonts w:hint="eastAsia" w:ascii="仿宋_GB2312" w:hAnsi="仿宋_GB2312" w:eastAsia="仿宋_GB2312" w:cs="仿宋_GB2312"/>
          <w:color w:val="auto"/>
          <w:sz w:val="32"/>
          <w:szCs w:val="32"/>
          <w:lang w:val="en-US" w:eastAsia="zh-CN"/>
        </w:rPr>
        <w:t>961.56</w:t>
      </w:r>
      <w:r>
        <w:rPr>
          <w:rFonts w:hint="eastAsia" w:ascii="仿宋_GB2312" w:hAnsi="仿宋_GB2312" w:eastAsia="仿宋_GB2312" w:cs="仿宋_GB2312"/>
          <w:color w:val="auto"/>
          <w:sz w:val="32"/>
          <w:szCs w:val="32"/>
        </w:rPr>
        <w:t>万元，主要用于以下方面：社会保障和就业（类）支出</w:t>
      </w:r>
      <w:r>
        <w:rPr>
          <w:rFonts w:hint="eastAsia" w:ascii="仿宋_GB2312" w:hAnsi="仿宋_GB2312" w:eastAsia="仿宋_GB2312" w:cs="仿宋_GB2312"/>
          <w:color w:val="auto"/>
          <w:sz w:val="32"/>
          <w:szCs w:val="32"/>
          <w:lang w:val="en-US" w:eastAsia="zh-CN"/>
        </w:rPr>
        <w:t>46.47</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4.83</w:t>
      </w:r>
      <w:r>
        <w:rPr>
          <w:rFonts w:hint="eastAsia" w:ascii="仿宋_GB2312" w:hAnsi="仿宋_GB2312" w:eastAsia="仿宋_GB2312" w:cs="仿宋_GB2312"/>
          <w:color w:val="auto"/>
          <w:sz w:val="32"/>
          <w:szCs w:val="32"/>
        </w:rPr>
        <w:t>%；卫生健康（类）支出</w:t>
      </w:r>
      <w:r>
        <w:rPr>
          <w:rFonts w:hint="eastAsia" w:ascii="仿宋_GB2312" w:hAnsi="仿宋_GB2312" w:eastAsia="仿宋_GB2312" w:cs="仿宋_GB2312"/>
          <w:color w:val="auto"/>
          <w:sz w:val="32"/>
          <w:szCs w:val="32"/>
          <w:lang w:val="en-US" w:eastAsia="zh-CN"/>
        </w:rPr>
        <w:t>14.01</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1.46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城乡社区（类）支出</w:t>
      </w:r>
      <w:r>
        <w:rPr>
          <w:rFonts w:hint="eastAsia" w:ascii="仿宋_GB2312" w:hAnsi="仿宋_GB2312" w:eastAsia="仿宋_GB2312" w:cs="仿宋_GB2312"/>
          <w:color w:val="auto"/>
          <w:sz w:val="32"/>
          <w:szCs w:val="32"/>
          <w:lang w:val="en-US" w:eastAsia="zh-CN"/>
        </w:rPr>
        <w:t>875.66</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91.07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住房保障（类）支出</w:t>
      </w:r>
      <w:r>
        <w:rPr>
          <w:rFonts w:hint="eastAsia" w:ascii="仿宋_GB2312" w:hAnsi="仿宋_GB2312" w:eastAsia="仿宋_GB2312" w:cs="仿宋_GB2312"/>
          <w:color w:val="auto"/>
          <w:sz w:val="32"/>
          <w:szCs w:val="32"/>
          <w:lang w:val="en-US" w:eastAsia="zh-CN"/>
        </w:rPr>
        <w:t>25.42</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2.64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p>
    <w:p w14:paraId="5AF4AA20">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23D63F3A">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年度财政拨款支出年初预算数为</w:t>
      </w:r>
      <w:r>
        <w:rPr>
          <w:rFonts w:hint="eastAsia" w:ascii="仿宋_GB2312" w:hAnsi="仿宋_GB2312" w:eastAsia="仿宋_GB2312" w:cs="仿宋_GB2312"/>
          <w:sz w:val="32"/>
          <w:szCs w:val="32"/>
          <w:lang w:val="en-US" w:eastAsia="zh-CN"/>
        </w:rPr>
        <w:t>423.52</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961.56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color w:val="auto"/>
          <w:sz w:val="32"/>
          <w:szCs w:val="32"/>
          <w:lang w:val="en-US" w:eastAsia="zh-CN"/>
        </w:rPr>
        <w:t>227.04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rPr>
        <w:t>，决算数大于年初预算数的主要原因是预算方式调整，本年单位部分专项经费列入财政代编预算，未体现在年初预算中其中：</w:t>
      </w:r>
    </w:p>
    <w:p w14:paraId="67C58FEB">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1、社会保障和就业支出（类）行政事业单位养老支出（款） 机关事业单位基本养老保险缴费支出（项）。</w:t>
      </w:r>
    </w:p>
    <w:p w14:paraId="049AD9C6">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36.51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35.99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sz w:val="32"/>
          <w:szCs w:val="32"/>
        </w:rPr>
        <w:t>%，决算数小于年初预算数的主要原因是年中人员调入、调出，社保缴费额减少。</w:t>
      </w:r>
    </w:p>
    <w:p w14:paraId="275F0F47">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2、社会保障和就业支出（类）残疾人事业（款）其他残疾人事业支出（项）。</w:t>
      </w:r>
    </w:p>
    <w:p w14:paraId="78AC82B4">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2.94</w:t>
      </w:r>
      <w:r>
        <w:rPr>
          <w:rFonts w:hint="eastAsia" w:ascii="仿宋_GB2312" w:hAnsi="仿宋_GB2312" w:eastAsia="仿宋_GB2312" w:cs="仿宋_GB2312"/>
          <w:sz w:val="32"/>
          <w:szCs w:val="32"/>
        </w:rPr>
        <w:t>万元，支出决算为2.</w:t>
      </w:r>
      <w:r>
        <w:rPr>
          <w:rFonts w:hint="eastAsia" w:ascii="仿宋_GB2312" w:hAnsi="仿宋_GB2312" w:eastAsia="仿宋_GB2312" w:cs="仿宋_GB2312"/>
          <w:sz w:val="32"/>
          <w:szCs w:val="32"/>
          <w:lang w:val="en-US" w:eastAsia="zh-CN"/>
        </w:rPr>
        <w:t>94</w:t>
      </w:r>
      <w:r>
        <w:rPr>
          <w:rFonts w:hint="eastAsia" w:ascii="仿宋_GB2312" w:hAnsi="仿宋_GB2312" w:eastAsia="仿宋_GB2312" w:cs="仿宋_GB2312"/>
          <w:sz w:val="32"/>
          <w:szCs w:val="32"/>
        </w:rPr>
        <w:t>万元，完成年初预算的100%，决算数等于年初预算数的主要原因是我单位严格按年初预算执行决算。</w:t>
      </w:r>
    </w:p>
    <w:p w14:paraId="1DE16C8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3、社会保障和就业支出（类）其他社会保障和就业支出（款）其他社会保障和就业支出（项）。</w:t>
      </w:r>
    </w:p>
    <w:p w14:paraId="6BAEE240">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7.61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7.54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99.08</w:t>
      </w:r>
      <w:r>
        <w:rPr>
          <w:rFonts w:hint="eastAsia" w:ascii="仿宋_GB2312" w:hAnsi="仿宋_GB2312" w:eastAsia="仿宋_GB2312" w:cs="仿宋_GB2312"/>
          <w:sz w:val="32"/>
          <w:szCs w:val="32"/>
        </w:rPr>
        <w:t>%，决算数小于年初预算数的主要原因是年中人员调入、调出，其他社保缴费额减少。</w:t>
      </w:r>
    </w:p>
    <w:p w14:paraId="44EF90E3">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4、卫生健康支出（类）行政事业单位医疗（款）事业单位医疗（项）。</w:t>
      </w:r>
    </w:p>
    <w:p w14:paraId="032DA7BA">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年初预算为</w:t>
      </w:r>
      <w:r>
        <w:rPr>
          <w:rFonts w:hint="eastAsia" w:ascii="仿宋_GB2312" w:hAnsi="仿宋_GB2312" w:eastAsia="仿宋_GB2312" w:cs="仿宋_GB2312"/>
          <w:sz w:val="32"/>
          <w:szCs w:val="32"/>
          <w:lang w:val="en-US" w:eastAsia="zh-CN"/>
        </w:rPr>
        <w:t>14.01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14.01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%，决算数等于年初预算数的主要原因是我单位严格按年初预算执行决算。</w:t>
      </w:r>
    </w:p>
    <w:p w14:paraId="35618817">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5、城乡社区支出（类）城乡社区管理事务（款）行政运行（项）。</w:t>
      </w:r>
    </w:p>
    <w:p w14:paraId="5D2711CD">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276.11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308.94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111.89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决算数大于年初预算数的主要原因是年中增加了综合绩效考评及部分人员经费。</w:t>
      </w:r>
    </w:p>
    <w:p w14:paraId="4470284E">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6、城乡社区支出（类）城乡社区规划与管理（款）城乡社区规划与管理（项）。</w:t>
      </w:r>
    </w:p>
    <w:p w14:paraId="2F63DF06">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558.31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930.5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决算数大于年初预算数的主要原因是因为预算方式调整，本年单位部分专项经费列入财政代编预算，未体现在年初预算中。</w:t>
      </w:r>
    </w:p>
    <w:p w14:paraId="4E50BF3A">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7、城乡社区支出（类）</w:t>
      </w:r>
      <w:r>
        <w:rPr>
          <w:rFonts w:hint="eastAsia" w:ascii="仿宋_GB2312" w:hAnsi="仿宋_GB2312" w:eastAsia="仿宋_GB2312" w:cs="仿宋_GB2312"/>
          <w:sz w:val="32"/>
          <w:szCs w:val="32"/>
          <w:lang w:eastAsia="zh-CN"/>
        </w:rPr>
        <w:t>其它</w:t>
      </w:r>
      <w:r>
        <w:rPr>
          <w:rFonts w:hint="eastAsia" w:ascii="仿宋_GB2312" w:hAnsi="仿宋_GB2312" w:eastAsia="仿宋_GB2312" w:cs="仿宋_GB2312"/>
          <w:sz w:val="32"/>
          <w:szCs w:val="32"/>
        </w:rPr>
        <w:t>城乡社区</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（款） 其城乡社区支出（项）。</w:t>
      </w:r>
    </w:p>
    <w:p w14:paraId="3022527B">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8.4</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决算数大于年初预算数的主要原因是上年结转资金本年支付。</w:t>
      </w:r>
    </w:p>
    <w:p w14:paraId="661E6CF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、住房保障支出（类）住房改革支出（款）住房公积金（项）。</w:t>
      </w:r>
    </w:p>
    <w:p w14:paraId="3AA0A5D0">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26.34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25.42</w:t>
      </w:r>
      <w:r>
        <w:rPr>
          <w:rFonts w:hint="eastAsia" w:ascii="仿宋_GB2312" w:hAnsi="仿宋_GB2312" w:eastAsia="仿宋_GB2312" w:cs="仿宋_GB2312"/>
          <w:sz w:val="32"/>
          <w:szCs w:val="32"/>
        </w:rPr>
        <w:t>元，完成年初预算的</w:t>
      </w:r>
      <w:r>
        <w:rPr>
          <w:rFonts w:hint="eastAsia" w:ascii="仿宋_GB2312" w:hAnsi="仿宋_GB2312" w:eastAsia="仿宋_GB2312" w:cs="仿宋_GB2312"/>
          <w:sz w:val="32"/>
          <w:szCs w:val="32"/>
          <w:lang w:val="en-US" w:eastAsia="zh-CN"/>
        </w:rPr>
        <w:t>96.51</w:t>
      </w:r>
      <w:r>
        <w:rPr>
          <w:rFonts w:hint="eastAsia" w:ascii="仿宋_GB2312" w:hAnsi="仿宋_GB2312" w:eastAsia="仿宋_GB2312" w:cs="仿宋_GB2312"/>
          <w:sz w:val="32"/>
          <w:szCs w:val="32"/>
        </w:rPr>
        <w:t>%，决算数小于年初预算数的主要原因是年中人员调入、调出，住房公积金扣缴调整缴费额减少。</w:t>
      </w:r>
    </w:p>
    <w:p w14:paraId="4B679AF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2E65F1DB">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年度财政拨款基本支出</w:t>
      </w:r>
      <w:r>
        <w:rPr>
          <w:rFonts w:hint="eastAsia" w:ascii="仿宋_GB2312" w:hAnsi="仿宋_GB2312" w:eastAsia="仿宋_GB2312" w:cs="仿宋_GB2312"/>
          <w:sz w:val="32"/>
          <w:szCs w:val="32"/>
          <w:lang w:val="en-US" w:eastAsia="zh-CN"/>
        </w:rPr>
        <w:t>403.25</w:t>
      </w:r>
      <w:r>
        <w:rPr>
          <w:rFonts w:hint="eastAsia" w:ascii="仿宋_GB2312" w:hAnsi="仿宋_GB2312" w:eastAsia="仿宋_GB2312" w:cs="仿宋_GB2312"/>
          <w:sz w:val="32"/>
          <w:szCs w:val="32"/>
        </w:rPr>
        <w:t>万元，其中：</w:t>
      </w:r>
    </w:p>
    <w:p w14:paraId="3BD0EAAD">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374.71</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92.92</w:t>
      </w:r>
      <w:r>
        <w:rPr>
          <w:rFonts w:hint="eastAsia" w:ascii="仿宋_GB2312" w:hAnsi="仿宋_GB2312" w:eastAsia="仿宋_GB2312" w:cs="仿宋_GB2312"/>
          <w:sz w:val="32"/>
          <w:szCs w:val="32"/>
        </w:rPr>
        <w:t>%,主要包括基本工资、津贴补贴、奖金、伙食补助费</w:t>
      </w:r>
      <w:r>
        <w:rPr>
          <w:rFonts w:ascii="微软雅黑" w:hAnsi="微软雅黑" w:eastAsia="微软雅黑" w:cs="微软雅黑"/>
          <w:i w:val="0"/>
          <w:iCs w:val="0"/>
          <w:caps w:val="0"/>
          <w:color w:val="000000"/>
          <w:spacing w:val="0"/>
          <w:sz w:val="27"/>
          <w:szCs w:val="27"/>
        </w:rPr>
        <w:t>、</w:t>
      </w:r>
      <w:r>
        <w:rPr>
          <w:rFonts w:hint="eastAsia" w:ascii="仿宋_GB2312" w:hAnsi="仿宋_GB2312" w:eastAsia="仿宋_GB2312" w:cs="仿宋_GB2312"/>
          <w:i w:val="0"/>
          <w:iCs w:val="0"/>
          <w:caps w:val="0"/>
          <w:color w:val="000000"/>
          <w:spacing w:val="0"/>
          <w:sz w:val="32"/>
          <w:szCs w:val="32"/>
        </w:rPr>
        <w:t>绩效工资、机关事业单位基本养老保险缴费、职工基本医疗保险缴费、其他社会保障缴费、住房公积金；</w:t>
      </w:r>
    </w:p>
    <w:p w14:paraId="2306515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28.54</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7.08</w:t>
      </w:r>
      <w:r>
        <w:rPr>
          <w:rFonts w:hint="eastAsia" w:ascii="仿宋_GB2312" w:hAnsi="仿宋_GB2312" w:eastAsia="仿宋_GB2312" w:cs="仿宋_GB2312"/>
          <w:sz w:val="32"/>
          <w:szCs w:val="32"/>
        </w:rPr>
        <w:t>%，主要包括办公费、印刷费、咨询费、</w:t>
      </w:r>
      <w:r>
        <w:rPr>
          <w:rFonts w:hint="eastAsia" w:ascii="仿宋_GB2312" w:hAnsi="仿宋_GB2312" w:eastAsia="仿宋_GB2312" w:cs="仿宋_GB2312"/>
          <w:i w:val="0"/>
          <w:iCs w:val="0"/>
          <w:caps w:val="0"/>
          <w:color w:val="000000"/>
          <w:spacing w:val="0"/>
          <w:sz w:val="32"/>
          <w:szCs w:val="32"/>
        </w:rPr>
        <w:t>邮电费、差旅费、</w:t>
      </w:r>
      <w:r>
        <w:rPr>
          <w:rFonts w:hint="eastAsia" w:ascii="仿宋_GB2312" w:hAnsi="仿宋_GB2312" w:eastAsia="仿宋_GB2312" w:cs="仿宋_GB2312"/>
          <w:i w:val="0"/>
          <w:iCs w:val="0"/>
          <w:caps w:val="0"/>
          <w:color w:val="000000"/>
          <w:spacing w:val="0"/>
          <w:sz w:val="32"/>
          <w:szCs w:val="32"/>
          <w:lang w:val="en-US" w:eastAsia="zh-CN"/>
        </w:rPr>
        <w:t>维修（护）费</w:t>
      </w:r>
      <w:r>
        <w:rPr>
          <w:rFonts w:hint="eastAsia" w:ascii="仿宋_GB2312" w:hAnsi="仿宋_GB2312" w:eastAsia="仿宋_GB2312" w:cs="仿宋_GB2312"/>
          <w:i w:val="0"/>
          <w:iCs w:val="0"/>
          <w:caps w:val="0"/>
          <w:color w:val="000000"/>
          <w:spacing w:val="0"/>
          <w:sz w:val="32"/>
          <w:szCs w:val="32"/>
        </w:rPr>
        <w:t>、工会经费、福利费、其他商品和服务支出</w:t>
      </w:r>
      <w:r>
        <w:rPr>
          <w:rFonts w:hint="eastAsia" w:ascii="仿宋_GB2312" w:hAnsi="仿宋_GB2312" w:eastAsia="仿宋_GB2312" w:cs="仿宋_GB2312"/>
          <w:b w:val="0"/>
          <w:bCs/>
          <w:sz w:val="32"/>
          <w:szCs w:val="32"/>
          <w:lang w:eastAsia="zh-CN"/>
        </w:rPr>
        <w:t>。</w:t>
      </w:r>
    </w:p>
    <w:p w14:paraId="74EBCF75">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5C3F86E8">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val="0"/>
          <w:color w:val="auto"/>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b w:val="0"/>
          <w:bCs w:val="0"/>
          <w:color w:val="auto"/>
          <w:sz w:val="32"/>
          <w:szCs w:val="32"/>
        </w:rPr>
        <w:t xml:space="preserve"> </w:t>
      </w:r>
      <w:r>
        <w:rPr>
          <w:rFonts w:hint="eastAsia" w:ascii="仿宋_GB2312" w:hAnsi="仿宋_GB2312" w:eastAsia="仿宋_GB2312" w:cs="仿宋_GB2312"/>
          <w:b w:val="0"/>
          <w:bCs w:val="0"/>
          <w:i w:val="0"/>
          <w:iCs/>
          <w:color w:val="auto"/>
          <w:kern w:val="0"/>
          <w:sz w:val="32"/>
          <w:szCs w:val="32"/>
          <w:lang w:val="en-US" w:eastAsia="zh-CN" w:bidi="ar-SA"/>
        </w:rPr>
        <w:t>2025年度政府性基金预算财政拨款收入0万元；年初结转和结余0万元；支出0万元，其中基本支出0万元，项目支出0万元；年末结转和结余0万元。</w:t>
      </w:r>
    </w:p>
    <w:p w14:paraId="23F4260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11DE9019">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i w:val="0"/>
          <w:iCs/>
          <w:color w:val="auto"/>
          <w:kern w:val="0"/>
          <w:sz w:val="32"/>
          <w:szCs w:val="32"/>
          <w:lang w:val="en-US" w:eastAsia="zh-CN" w:bidi="ar-SA"/>
        </w:rPr>
        <w:t>2025年度国有资本经营预算财政拨款收入0万元；年初结转和结余0万元；支出0万元，其中：基本支出0万元，项目支出0万元；年末结转和结余0万元。</w:t>
      </w:r>
    </w:p>
    <w:p w14:paraId="4965768D">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4E1E6586">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7CCA7268">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b w:val="0"/>
          <w:bCs/>
          <w:color w:val="auto"/>
          <w:kern w:val="0"/>
          <w:sz w:val="32"/>
          <w:szCs w:val="32"/>
          <w:lang w:val="en-US" w:eastAsia="zh-CN" w:bidi="ar-SA"/>
        </w:rPr>
        <w:t>2025年度“三公”经费财政拨款支出预算为0万元，支出决算为0万元，决算数等于预算数，主要原因是我单位严格按预算执行决算；与上年一致，无增减变动，主要原因是按有关政策厉行节约，严控“三公经费”支出。</w:t>
      </w:r>
    </w:p>
    <w:p w14:paraId="3C791D76">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41B3500D">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b w:val="0"/>
          <w:bCs/>
          <w:color w:val="auto"/>
          <w:kern w:val="0"/>
          <w:sz w:val="32"/>
          <w:szCs w:val="32"/>
          <w:lang w:val="en-US" w:eastAsia="zh-CN" w:bidi="ar-SA"/>
        </w:rPr>
        <w:t>1、因公出国（境）费支出预算为0万元，支出决算为0万元，决算数等于预算数，主要原因是我单位严格按预算执行决算；与上年一致，无增减变动，主要原因是未安排因公出国（境）活动。2025年度安排因公出国（境）团组0个，累计0人次。</w:t>
      </w:r>
    </w:p>
    <w:p w14:paraId="5E201A80">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b w:val="0"/>
          <w:bCs/>
          <w:color w:val="auto"/>
          <w:kern w:val="0"/>
          <w:sz w:val="32"/>
          <w:szCs w:val="32"/>
          <w:lang w:val="en-US" w:eastAsia="zh-CN" w:bidi="ar-SA"/>
        </w:rPr>
        <w:t>2、公务用车购置费及运行维护费支出预算为0万元，支出决算为0万元，决算数等于预算数；与上年一致，无增减变动。其中：</w:t>
      </w:r>
    </w:p>
    <w:p w14:paraId="194D4698">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b w:val="0"/>
          <w:bCs/>
          <w:color w:val="auto"/>
          <w:kern w:val="0"/>
          <w:sz w:val="32"/>
          <w:szCs w:val="32"/>
          <w:lang w:val="en-US" w:eastAsia="zh-CN" w:bidi="ar-SA"/>
        </w:rPr>
        <w:t>公务用车购置费支出预算为0万元，支出决算为0万元，决算数等于预算数，主要原因是我单位严格按预算执行决算；与上年一致，无增减变动，主要原因是两年均未购置公务用车。本单位更新公务用车0辆。</w:t>
      </w:r>
    </w:p>
    <w:p w14:paraId="1A919117">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b w:val="0"/>
          <w:bCs/>
          <w:color w:val="auto"/>
          <w:kern w:val="0"/>
          <w:sz w:val="32"/>
          <w:szCs w:val="32"/>
          <w:lang w:val="en-US" w:eastAsia="zh-CN" w:bidi="ar-SA"/>
        </w:rPr>
        <w:t xml:space="preserve">公务用车运行维护费支出预算为0万元，支出决算为0万元，决算数等于预算数，主要原因是我单位严格按预算执行决算；与上年一致，无增减变动，主要原因是两年均无公务用车需要运行维护。截止到2025年12月31日，我单位开支财政拨款的公务用车保有量为0辆。 </w:t>
      </w:r>
    </w:p>
    <w:p w14:paraId="53DB15A2">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b w:val="0"/>
          <w:bCs/>
          <w:color w:val="auto"/>
          <w:kern w:val="0"/>
          <w:sz w:val="32"/>
          <w:szCs w:val="32"/>
          <w:lang w:val="en-US" w:eastAsia="zh-CN" w:bidi="ar-SA"/>
        </w:rPr>
        <w:t>3、公务接待费支出预算为0万元，支出决算为0万元，决算数等于预算数，主要原因是严格执行中央八项规定；与上年一致，无增减变动，主要原因是按有关政策厉行节约，严控公务接待支出。2025年度共接待来访团组0个、来宾0人次。</w:t>
      </w:r>
    </w:p>
    <w:p w14:paraId="62192D41">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0884B801">
      <w:pPr>
        <w:pStyle w:val="17"/>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本</w:t>
      </w:r>
      <w:r>
        <w:rPr>
          <w:rFonts w:hint="eastAsia" w:ascii="仿宋_GB2312" w:hAnsi="仿宋_GB2312" w:eastAsia="仿宋_GB2312" w:cs="仿宋_GB2312"/>
          <w:i w:val="0"/>
          <w:iCs/>
          <w:color w:val="auto"/>
          <w:sz w:val="32"/>
          <w:szCs w:val="32"/>
          <w:lang w:val="en-US" w:eastAsia="zh-CN"/>
        </w:rPr>
        <w:t>单位为公益一类事业单位，按照机关运行经费的口径，本年度机关运行经费为0</w:t>
      </w:r>
      <w:r>
        <w:rPr>
          <w:rFonts w:hint="eastAsia" w:ascii="仿宋_GB2312" w:hAnsi="仿宋_GB2312" w:eastAsia="仿宋_GB2312" w:cs="仿宋_GB2312"/>
          <w:color w:val="auto"/>
          <w:sz w:val="32"/>
          <w:szCs w:val="32"/>
        </w:rPr>
        <w:t>。</w:t>
      </w:r>
    </w:p>
    <w:p w14:paraId="20BE83F8">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50F9DA1A">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b w:val="0"/>
          <w:bCs w:val="0"/>
          <w:i w:val="0"/>
          <w:iCs w:val="0"/>
          <w:color w:val="auto"/>
          <w:kern w:val="0"/>
          <w:sz w:val="32"/>
          <w:szCs w:val="32"/>
          <w:lang w:val="en-US" w:eastAsia="zh-CN" w:bidi="ar-SA"/>
        </w:rPr>
        <w:t>本单位无会议费的预算和支出决算数；无培训费的预算和支出决算数；无举办节庆、晚会、论坛、赛事等活动的预算和支出决算数。</w:t>
      </w:r>
    </w:p>
    <w:p w14:paraId="6C28A938">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4373ABF8">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年度政府采购支出总额</w:t>
      </w:r>
      <w:r>
        <w:rPr>
          <w:rFonts w:hint="eastAsia" w:ascii="仿宋_GB2312" w:hAnsi="仿宋_GB2312" w:eastAsia="仿宋_GB2312" w:cs="仿宋_GB2312"/>
          <w:sz w:val="32"/>
          <w:szCs w:val="32"/>
          <w:lang w:val="en-US" w:eastAsia="zh-CN"/>
        </w:rPr>
        <w:t>429.03</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5.63</w:t>
      </w:r>
      <w:r>
        <w:rPr>
          <w:rFonts w:hint="eastAsia" w:ascii="仿宋_GB2312" w:hAnsi="仿宋_GB2312" w:eastAsia="仿宋_GB2312" w:cs="仿宋_GB2312"/>
          <w:sz w:val="32"/>
          <w:szCs w:val="32"/>
        </w:rPr>
        <w:t>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423.4</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423.4</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423.4</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34087D1D">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41930663">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年12月31日，</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68CFD63A">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四</w:t>
      </w:r>
      <w:r>
        <w:rPr>
          <w:rFonts w:hint="eastAsia" w:ascii="黑体" w:hAnsi="黑体" w:eastAsia="黑体" w:cs="黑体"/>
          <w:b w:val="0"/>
          <w:bCs/>
          <w:color w:val="auto"/>
          <w:sz w:val="32"/>
          <w:szCs w:val="32"/>
        </w:rPr>
        <w:t>、关于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68F785CD">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3541CBAC">
      <w:pPr>
        <w:overflowPunct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hint="eastAsia" w:ascii="仿宋_GB2312" w:hAnsi="仿宋_GB2312" w:eastAsia="仿宋_GB2312" w:cs="仿宋_GB2312"/>
          <w:color w:val="auto"/>
          <w:kern w:val="0"/>
          <w:sz w:val="32"/>
          <w:szCs w:val="32"/>
          <w:lang w:val="en-US" w:eastAsia="zh-CN" w:bidi="ar-SA"/>
        </w:rPr>
        <w:t>组织对2025年度本部门（单位）整体支出开展绩效自评，涉及项目6个，共涉及资金558.31万元。其中，一般公共预算558.31万元，占一般公共预算支出总额的100%；政府性基金预算项目0个0万元，占政府性基金预算支出总额的0%；国有资本经营预算项目0 个0万元，占国有资本经营预算支出总额的0%；社会保险基金预算项目0个0万元，占社会保险基金预算支出总额的0%。</w:t>
      </w:r>
    </w:p>
    <w:p w14:paraId="288678D3">
      <w:pPr>
        <w:numPr>
          <w:ilvl w:val="0"/>
          <w:numId w:val="0"/>
        </w:numPr>
        <w:spacing w:before="5" w:line="330" w:lineRule="auto"/>
        <w:ind w:right="313" w:rightChars="0" w:firstLine="644" w:firstLineChars="200"/>
        <w:rPr>
          <w:rFonts w:hint="eastAsia" w:ascii="CESI仿宋-GB2312" w:hAnsi="CESI仿宋-GB2312" w:eastAsia="CESI仿宋-GB2312" w:cs="CESI仿宋-GB2312"/>
          <w:spacing w:val="13"/>
          <w:sz w:val="31"/>
          <w:szCs w:val="31"/>
          <w:lang w:eastAsia="zh-CN"/>
        </w:rPr>
      </w:pPr>
      <w:r>
        <w:rPr>
          <w:rFonts w:hint="eastAsia" w:ascii="CESI仿宋-GB2312" w:hAnsi="CESI仿宋-GB2312" w:eastAsia="CESI仿宋-GB2312" w:cs="CESI仿宋-GB2312"/>
          <w:b w:val="0"/>
          <w:bCs w:val="0"/>
          <w:spacing w:val="6"/>
          <w:sz w:val="31"/>
          <w:szCs w:val="31"/>
          <w:lang w:val="en-US" w:eastAsia="zh-CN"/>
        </w:rPr>
        <w:t>2025年</w:t>
      </w:r>
      <w:r>
        <w:rPr>
          <w:rFonts w:hint="eastAsia" w:ascii="CESI仿宋-GB2312" w:hAnsi="CESI仿宋-GB2312" w:eastAsia="CESI仿宋-GB2312" w:cs="CESI仿宋-GB2312"/>
          <w:spacing w:val="6"/>
          <w:sz w:val="31"/>
          <w:szCs w:val="31"/>
        </w:rPr>
        <w:t>中心支部牵</w:t>
      </w:r>
      <w:r>
        <w:rPr>
          <w:rFonts w:hint="eastAsia" w:ascii="CESI仿宋-GB2312" w:hAnsi="CESI仿宋-GB2312" w:eastAsia="CESI仿宋-GB2312" w:cs="CESI仿宋-GB2312"/>
          <w:spacing w:val="3"/>
          <w:sz w:val="31"/>
          <w:szCs w:val="31"/>
        </w:rPr>
        <w:t>头优化城市管理问题处置流程，构建“网格 +信</w:t>
      </w:r>
      <w:r>
        <w:rPr>
          <w:rFonts w:hint="eastAsia" w:ascii="CESI仿宋-GB2312" w:hAnsi="CESI仿宋-GB2312" w:eastAsia="CESI仿宋-GB2312" w:cs="CESI仿宋-GB2312"/>
          <w:spacing w:val="2"/>
          <w:sz w:val="31"/>
          <w:szCs w:val="31"/>
        </w:rPr>
        <w:t>息采集员+</w:t>
      </w:r>
      <w:r>
        <w:rPr>
          <w:rFonts w:hint="eastAsia" w:ascii="CESI仿宋-GB2312" w:hAnsi="CESI仿宋-GB2312" w:eastAsia="CESI仿宋-GB2312" w:cs="CESI仿宋-GB2312"/>
          <w:sz w:val="31"/>
          <w:szCs w:val="31"/>
        </w:rPr>
        <w:t>AI</w:t>
      </w:r>
      <w:r>
        <w:rPr>
          <w:rFonts w:hint="eastAsia" w:ascii="CESI仿宋-GB2312" w:hAnsi="CESI仿宋-GB2312" w:eastAsia="CESI仿宋-GB2312" w:cs="CESI仿宋-GB2312"/>
          <w:spacing w:val="9"/>
          <w:sz w:val="31"/>
          <w:szCs w:val="31"/>
        </w:rPr>
        <w:t>智能采集”三位一体问题发现体系，依托智慧城管</w:t>
      </w:r>
      <w:r>
        <w:rPr>
          <w:rFonts w:hint="eastAsia" w:ascii="CESI仿宋-GB2312" w:hAnsi="CESI仿宋-GB2312" w:eastAsia="CESI仿宋-GB2312" w:cs="CESI仿宋-GB2312"/>
          <w:spacing w:val="8"/>
          <w:sz w:val="31"/>
          <w:szCs w:val="31"/>
        </w:rPr>
        <w:t>平台实现</w:t>
      </w:r>
      <w:r>
        <w:rPr>
          <w:rFonts w:hint="eastAsia" w:ascii="CESI仿宋-GB2312" w:hAnsi="CESI仿宋-GB2312" w:eastAsia="CESI仿宋-GB2312" w:cs="CESI仿宋-GB2312"/>
          <w:spacing w:val="5"/>
          <w:sz w:val="31"/>
          <w:szCs w:val="31"/>
        </w:rPr>
        <w:t>“一图汇数据、一网通互联、一屏观全局”。2</w:t>
      </w:r>
      <w:r>
        <w:rPr>
          <w:rFonts w:hint="eastAsia" w:ascii="CESI仿宋-GB2312" w:hAnsi="CESI仿宋-GB2312" w:eastAsia="CESI仿宋-GB2312" w:cs="CESI仿宋-GB2312"/>
          <w:spacing w:val="4"/>
          <w:sz w:val="31"/>
          <w:szCs w:val="31"/>
        </w:rPr>
        <w:t>025</w:t>
      </w:r>
      <w:r>
        <w:rPr>
          <w:rFonts w:hint="eastAsia" w:ascii="CESI仿宋-GB2312" w:hAnsi="CESI仿宋-GB2312" w:eastAsia="CESI仿宋-GB2312" w:cs="CESI仿宋-GB2312"/>
          <w:spacing w:val="-58"/>
          <w:sz w:val="31"/>
          <w:szCs w:val="31"/>
        </w:rPr>
        <w:t xml:space="preserve"> </w:t>
      </w:r>
      <w:r>
        <w:rPr>
          <w:rFonts w:hint="eastAsia" w:ascii="CESI仿宋-GB2312" w:hAnsi="CESI仿宋-GB2312" w:eastAsia="CESI仿宋-GB2312" w:cs="CESI仿宋-GB2312"/>
          <w:spacing w:val="4"/>
          <w:sz w:val="31"/>
          <w:szCs w:val="31"/>
        </w:rPr>
        <w:t>年全年受</w:t>
      </w:r>
      <w:r>
        <w:rPr>
          <w:rFonts w:hint="eastAsia" w:ascii="CESI仿宋-GB2312" w:hAnsi="CESI仿宋-GB2312" w:eastAsia="CESI仿宋-GB2312" w:cs="CESI仿宋-GB2312"/>
          <w:spacing w:val="13"/>
          <w:sz w:val="31"/>
          <w:szCs w:val="31"/>
        </w:rPr>
        <w:t>理城市管理问题</w:t>
      </w:r>
      <w:r>
        <w:rPr>
          <w:rFonts w:hint="default" w:ascii="CESI仿宋-GB2312" w:hAnsi="CESI仿宋-GB2312" w:eastAsia="CESI仿宋-GB2312" w:cs="CESI仿宋-GB2312"/>
          <w:spacing w:val="13"/>
          <w:sz w:val="31"/>
          <w:szCs w:val="31"/>
          <w:lang w:val="en-US"/>
        </w:rPr>
        <w:t>300019</w:t>
      </w:r>
      <w:r>
        <w:rPr>
          <w:rFonts w:hint="eastAsia" w:ascii="CESI仿宋-GB2312" w:hAnsi="CESI仿宋-GB2312" w:eastAsia="CESI仿宋-GB2312" w:cs="CESI仿宋-GB2312"/>
          <w:spacing w:val="13"/>
          <w:sz w:val="31"/>
          <w:szCs w:val="31"/>
        </w:rPr>
        <w:t>件、处置</w:t>
      </w:r>
      <w:r>
        <w:rPr>
          <w:rFonts w:hint="default" w:ascii="CESI仿宋-GB2312" w:hAnsi="CESI仿宋-GB2312" w:eastAsia="CESI仿宋-GB2312" w:cs="CESI仿宋-GB2312"/>
          <w:spacing w:val="13"/>
          <w:sz w:val="31"/>
          <w:szCs w:val="31"/>
          <w:lang w:val="en-US"/>
        </w:rPr>
        <w:t>216180</w:t>
      </w:r>
      <w:r>
        <w:rPr>
          <w:rFonts w:hint="eastAsia" w:ascii="CESI仿宋-GB2312" w:hAnsi="CESI仿宋-GB2312" w:eastAsia="CESI仿宋-GB2312" w:cs="CESI仿宋-GB2312"/>
          <w:spacing w:val="13"/>
          <w:sz w:val="31"/>
          <w:szCs w:val="31"/>
        </w:rPr>
        <w:t>件，</w:t>
      </w:r>
      <w:r>
        <w:rPr>
          <w:rFonts w:hint="eastAsia" w:ascii="CESI仿宋-GB2312" w:hAnsi="CESI仿宋-GB2312" w:eastAsia="CESI仿宋-GB2312" w:cs="CESI仿宋-GB2312"/>
          <w:spacing w:val="-70"/>
          <w:sz w:val="31"/>
          <w:szCs w:val="31"/>
        </w:rPr>
        <w:t xml:space="preserve"> </w:t>
      </w:r>
      <w:r>
        <w:rPr>
          <w:rFonts w:hint="eastAsia" w:ascii="CESI仿宋-GB2312" w:hAnsi="CESI仿宋-GB2312" w:eastAsia="CESI仿宋-GB2312" w:cs="CESI仿宋-GB2312"/>
          <w:spacing w:val="13"/>
          <w:sz w:val="31"/>
          <w:szCs w:val="31"/>
        </w:rPr>
        <w:t>处置</w:t>
      </w:r>
      <w:r>
        <w:rPr>
          <w:rFonts w:hint="eastAsia" w:ascii="CESI仿宋-GB2312" w:hAnsi="CESI仿宋-GB2312" w:eastAsia="CESI仿宋-GB2312" w:cs="CESI仿宋-GB2312"/>
          <w:spacing w:val="13"/>
          <w:sz w:val="31"/>
          <w:szCs w:val="31"/>
          <w:lang w:eastAsia="zh-CN"/>
        </w:rPr>
        <w:t>率达</w:t>
      </w:r>
      <w:r>
        <w:rPr>
          <w:rFonts w:hint="eastAsia" w:ascii="CESI仿宋-GB2312" w:hAnsi="CESI仿宋-GB2312" w:eastAsia="CESI仿宋-GB2312" w:cs="CESI仿宋-GB2312"/>
          <w:spacing w:val="13"/>
          <w:sz w:val="31"/>
          <w:szCs w:val="31"/>
          <w:lang w:val="en-US"/>
        </w:rPr>
        <w:t>85.50%</w:t>
      </w:r>
      <w:r>
        <w:rPr>
          <w:rFonts w:hint="eastAsia" w:ascii="CESI仿宋-GB2312" w:hAnsi="CESI仿宋-GB2312" w:eastAsia="CESI仿宋-GB2312" w:cs="CESI仿宋-GB2312"/>
          <w:spacing w:val="3"/>
          <w:sz w:val="31"/>
          <w:szCs w:val="31"/>
        </w:rPr>
        <w:t>；受理转办</w:t>
      </w:r>
      <w:r>
        <w:rPr>
          <w:rFonts w:hint="eastAsia" w:ascii="CESI仿宋-GB2312" w:hAnsi="CESI仿宋-GB2312" w:eastAsia="CESI仿宋-GB2312" w:cs="CESI仿宋-GB2312"/>
          <w:spacing w:val="-40"/>
          <w:sz w:val="31"/>
          <w:szCs w:val="31"/>
        </w:rPr>
        <w:t xml:space="preserve"> </w:t>
      </w:r>
      <w:r>
        <w:rPr>
          <w:rFonts w:hint="eastAsia" w:ascii="CESI仿宋-GB2312" w:hAnsi="CESI仿宋-GB2312" w:eastAsia="CESI仿宋-GB2312" w:cs="CESI仿宋-GB2312"/>
          <w:spacing w:val="13"/>
          <w:sz w:val="31"/>
          <w:szCs w:val="31"/>
          <w:lang w:val="en-US"/>
        </w:rPr>
        <w:t xml:space="preserve">12345 </w:t>
      </w:r>
      <w:r>
        <w:rPr>
          <w:rFonts w:hint="eastAsia" w:ascii="CESI仿宋-GB2312" w:hAnsi="CESI仿宋-GB2312" w:eastAsia="CESI仿宋-GB2312" w:cs="CESI仿宋-GB2312"/>
          <w:spacing w:val="3"/>
          <w:sz w:val="31"/>
          <w:szCs w:val="31"/>
        </w:rPr>
        <w:t>政府热线问题</w:t>
      </w:r>
      <w:r>
        <w:rPr>
          <w:rFonts w:hint="eastAsia" w:ascii="CESI仿宋-GB2312" w:hAnsi="CESI仿宋-GB2312" w:eastAsia="CESI仿宋-GB2312" w:cs="CESI仿宋-GB2312"/>
          <w:spacing w:val="-48"/>
          <w:sz w:val="31"/>
          <w:szCs w:val="31"/>
        </w:rPr>
        <w:t xml:space="preserve"> </w:t>
      </w:r>
      <w:r>
        <w:rPr>
          <w:rFonts w:hint="eastAsia" w:ascii="CESI仿宋-GB2312" w:hAnsi="CESI仿宋-GB2312" w:eastAsia="CESI仿宋-GB2312" w:cs="CESI仿宋-GB2312"/>
          <w:spacing w:val="3"/>
          <w:sz w:val="31"/>
          <w:szCs w:val="31"/>
        </w:rPr>
        <w:t>8671</w:t>
      </w:r>
      <w:r>
        <w:rPr>
          <w:rFonts w:hint="eastAsia" w:ascii="CESI仿宋-GB2312" w:hAnsi="CESI仿宋-GB2312" w:eastAsia="CESI仿宋-GB2312" w:cs="CESI仿宋-GB2312"/>
          <w:spacing w:val="-66"/>
          <w:sz w:val="31"/>
          <w:szCs w:val="31"/>
        </w:rPr>
        <w:t xml:space="preserve"> </w:t>
      </w:r>
      <w:r>
        <w:rPr>
          <w:rFonts w:hint="eastAsia" w:ascii="CESI仿宋-GB2312" w:hAnsi="CESI仿宋-GB2312" w:eastAsia="CESI仿宋-GB2312" w:cs="CESI仿宋-GB2312"/>
          <w:spacing w:val="3"/>
          <w:sz w:val="31"/>
          <w:szCs w:val="31"/>
        </w:rPr>
        <w:t>件、结</w:t>
      </w:r>
      <w:r>
        <w:rPr>
          <w:rFonts w:hint="eastAsia" w:ascii="CESI仿宋-GB2312" w:hAnsi="CESI仿宋-GB2312" w:eastAsia="CESI仿宋-GB2312" w:cs="CESI仿宋-GB2312"/>
          <w:spacing w:val="2"/>
          <w:sz w:val="31"/>
          <w:szCs w:val="31"/>
        </w:rPr>
        <w:t>案</w:t>
      </w:r>
      <w:r>
        <w:rPr>
          <w:rFonts w:hint="eastAsia" w:ascii="CESI仿宋-GB2312" w:hAnsi="CESI仿宋-GB2312" w:eastAsia="CESI仿宋-GB2312" w:cs="CESI仿宋-GB2312"/>
          <w:spacing w:val="-46"/>
          <w:sz w:val="31"/>
          <w:szCs w:val="31"/>
        </w:rPr>
        <w:t xml:space="preserve"> </w:t>
      </w:r>
      <w:r>
        <w:rPr>
          <w:rFonts w:hint="eastAsia" w:ascii="CESI仿宋-GB2312" w:hAnsi="CESI仿宋-GB2312" w:eastAsia="CESI仿宋-GB2312" w:cs="CESI仿宋-GB2312"/>
          <w:spacing w:val="2"/>
          <w:sz w:val="31"/>
          <w:szCs w:val="31"/>
        </w:rPr>
        <w:t>8508</w:t>
      </w:r>
      <w:r>
        <w:rPr>
          <w:rFonts w:hint="eastAsia" w:ascii="CESI仿宋-GB2312" w:hAnsi="CESI仿宋-GB2312" w:eastAsia="CESI仿宋-GB2312" w:cs="CESI仿宋-GB2312"/>
          <w:spacing w:val="10"/>
          <w:sz w:val="31"/>
          <w:szCs w:val="31"/>
        </w:rPr>
        <w:t>件，结案率98%，案件处置时间较往年进一步压缩，按期处</w:t>
      </w:r>
      <w:r>
        <w:rPr>
          <w:rFonts w:hint="eastAsia" w:ascii="CESI仿宋-GB2312" w:hAnsi="CESI仿宋-GB2312" w:eastAsia="CESI仿宋-GB2312" w:cs="CESI仿宋-GB2312"/>
          <w:sz w:val="31"/>
          <w:szCs w:val="31"/>
        </w:rPr>
        <w:t xml:space="preserve"> </w:t>
      </w:r>
      <w:r>
        <w:rPr>
          <w:rFonts w:hint="eastAsia" w:ascii="CESI仿宋-GB2312" w:hAnsi="CESI仿宋-GB2312" w:eastAsia="CESI仿宋-GB2312" w:cs="CESI仿宋-GB2312"/>
          <w:spacing w:val="4"/>
          <w:sz w:val="31"/>
          <w:szCs w:val="31"/>
        </w:rPr>
        <w:t>置率稳步提升。连续</w:t>
      </w:r>
      <w:r>
        <w:rPr>
          <w:rFonts w:hint="eastAsia" w:ascii="CESI仿宋-GB2312" w:hAnsi="CESI仿宋-GB2312" w:eastAsia="CESI仿宋-GB2312" w:cs="CESI仿宋-GB2312"/>
          <w:spacing w:val="-30"/>
          <w:sz w:val="31"/>
          <w:szCs w:val="31"/>
        </w:rPr>
        <w:t xml:space="preserve"> </w:t>
      </w:r>
      <w:r>
        <w:rPr>
          <w:rFonts w:hint="eastAsia" w:ascii="CESI仿宋-GB2312" w:hAnsi="CESI仿宋-GB2312" w:eastAsia="CESI仿宋-GB2312" w:cs="CESI仿宋-GB2312"/>
          <w:spacing w:val="4"/>
          <w:sz w:val="31"/>
          <w:szCs w:val="31"/>
        </w:rPr>
        <w:t>3</w:t>
      </w:r>
      <w:r>
        <w:rPr>
          <w:rFonts w:hint="eastAsia" w:ascii="CESI仿宋-GB2312" w:hAnsi="CESI仿宋-GB2312" w:eastAsia="CESI仿宋-GB2312" w:cs="CESI仿宋-GB2312"/>
          <w:spacing w:val="-58"/>
          <w:sz w:val="31"/>
          <w:szCs w:val="31"/>
        </w:rPr>
        <w:t xml:space="preserve"> </w:t>
      </w:r>
      <w:r>
        <w:rPr>
          <w:rFonts w:hint="eastAsia" w:ascii="CESI仿宋-GB2312" w:hAnsi="CESI仿宋-GB2312" w:eastAsia="CESI仿宋-GB2312" w:cs="CESI仿宋-GB2312"/>
          <w:spacing w:val="4"/>
          <w:sz w:val="31"/>
          <w:szCs w:val="31"/>
        </w:rPr>
        <w:t>年参与</w:t>
      </w:r>
      <w:r>
        <w:rPr>
          <w:rFonts w:hint="default" w:ascii="CESI仿宋-GB2312" w:hAnsi="CESI仿宋-GB2312" w:eastAsia="CESI仿宋-GB2312" w:cs="CESI仿宋-GB2312"/>
          <w:spacing w:val="13"/>
          <w:sz w:val="31"/>
          <w:szCs w:val="31"/>
          <w:lang w:val="en-US"/>
        </w:rPr>
        <w:t>12345</w:t>
      </w:r>
      <w:r>
        <w:rPr>
          <w:rFonts w:hint="eastAsia" w:ascii="CESI仿宋-GB2312" w:hAnsi="CESI仿宋-GB2312" w:eastAsia="CESI仿宋-GB2312" w:cs="CESI仿宋-GB2312"/>
          <w:spacing w:val="4"/>
          <w:sz w:val="31"/>
          <w:szCs w:val="31"/>
        </w:rPr>
        <w:t>政府热线“领导接听日”</w:t>
      </w:r>
      <w:r>
        <w:rPr>
          <w:rFonts w:hint="eastAsia" w:ascii="CESI仿宋-GB2312" w:hAnsi="CESI仿宋-GB2312" w:eastAsia="CESI仿宋-GB2312" w:cs="CESI仿宋-GB2312"/>
          <w:spacing w:val="9"/>
          <w:sz w:val="31"/>
          <w:szCs w:val="31"/>
        </w:rPr>
        <w:t>活动，获多方肯定，市民满意度持续攀升。</w:t>
      </w:r>
    </w:p>
    <w:p w14:paraId="0A65C10E">
      <w:pPr>
        <w:numPr>
          <w:ilvl w:val="0"/>
          <w:numId w:val="0"/>
        </w:numPr>
        <w:spacing w:before="5" w:line="330" w:lineRule="auto"/>
        <w:ind w:right="313" w:rightChars="0" w:firstLine="664" w:firstLineChars="200"/>
        <w:rPr>
          <w:rFonts w:hint="eastAsia" w:ascii="CESI仿宋-GB2312" w:hAnsi="CESI仿宋-GB2312" w:eastAsia="CESI仿宋-GB2312" w:cs="CESI仿宋-GB2312"/>
          <w:spacing w:val="6"/>
          <w:kern w:val="0"/>
          <w:sz w:val="32"/>
          <w:szCs w:val="32"/>
          <w:lang w:val="en-US" w:eastAsia="zh-CN" w:bidi="ar-SA"/>
        </w:rPr>
      </w:pPr>
      <w:r>
        <w:rPr>
          <w:rFonts w:hint="eastAsia" w:ascii="CESI仿宋-GB2312" w:hAnsi="CESI仿宋-GB2312" w:eastAsia="CESI仿宋-GB2312" w:cs="CESI仿宋-GB2312"/>
          <w:spacing w:val="6"/>
          <w:kern w:val="0"/>
          <w:sz w:val="32"/>
          <w:szCs w:val="32"/>
          <w:lang w:val="en-US" w:eastAsia="zh-CN" w:bidi="ar-SA"/>
        </w:rPr>
        <w:t>针对城市管理中的推诿争议难点问题，班子成员牵头协调，组织市政维护管理中心、区住建局等责任单位，对竹荫街井盖异响、岳阳大道与枣子山路交叉口停车场围栏倒伏等</w:t>
      </w:r>
      <w:r>
        <w:rPr>
          <w:rFonts w:hint="default" w:ascii="CESI仿宋-GB2312" w:hAnsi="CESI仿宋-GB2312" w:eastAsia="CESI仿宋-GB2312" w:cs="CESI仿宋-GB2312"/>
          <w:spacing w:val="6"/>
          <w:kern w:val="0"/>
          <w:sz w:val="32"/>
          <w:szCs w:val="32"/>
          <w:lang w:val="en-US" w:eastAsia="zh-CN" w:bidi="ar-SA"/>
        </w:rPr>
        <w:t>6</w:t>
      </w:r>
      <w:r>
        <w:rPr>
          <w:rFonts w:hint="eastAsia" w:ascii="CESI仿宋-GB2312" w:hAnsi="CESI仿宋-GB2312" w:eastAsia="CESI仿宋-GB2312" w:cs="CESI仿宋-GB2312"/>
          <w:spacing w:val="6"/>
          <w:kern w:val="0"/>
          <w:sz w:val="32"/>
          <w:szCs w:val="32"/>
          <w:lang w:val="en-US" w:eastAsia="zh-CN" w:bidi="ar-SA"/>
        </w:rPr>
        <w:t>个问题开展现场确权，破除处置壁垒。聚焦全国文明城市创建工作，召开专题部署会</w:t>
      </w:r>
      <w:r>
        <w:rPr>
          <w:rFonts w:hint="default" w:ascii="CESI仿宋-GB2312" w:hAnsi="CESI仿宋-GB2312" w:eastAsia="CESI仿宋-GB2312" w:cs="CESI仿宋-GB2312"/>
          <w:spacing w:val="6"/>
          <w:kern w:val="0"/>
          <w:sz w:val="32"/>
          <w:szCs w:val="32"/>
          <w:lang w:val="en-US" w:eastAsia="zh-CN" w:bidi="ar-SA"/>
        </w:rPr>
        <w:t>3</w:t>
      </w:r>
      <w:r>
        <w:rPr>
          <w:rFonts w:hint="eastAsia" w:ascii="CESI仿宋-GB2312" w:hAnsi="CESI仿宋-GB2312" w:eastAsia="CESI仿宋-GB2312" w:cs="CESI仿宋-GB2312"/>
          <w:spacing w:val="6"/>
          <w:kern w:val="0"/>
          <w:sz w:val="32"/>
          <w:szCs w:val="32"/>
          <w:lang w:val="en-US" w:eastAsia="zh-CN" w:bidi="ar-SA"/>
        </w:rPr>
        <w:t>次，细化任务分工，启动视频监控点位专项巡查行动，调整信息采集重点区域，为创文迎检提供坚实数据支撑。</w:t>
      </w:r>
    </w:p>
    <w:p w14:paraId="3DAE863D">
      <w:pPr>
        <w:spacing w:before="213" w:line="324" w:lineRule="auto"/>
        <w:ind w:left="25" w:right="315" w:firstLine="634"/>
        <w:rPr>
          <w:rFonts w:hint="eastAsia" w:ascii="CESI仿宋-GB2312" w:hAnsi="CESI仿宋-GB2312" w:eastAsia="CESI仿宋-GB2312" w:cs="CESI仿宋-GB2312"/>
          <w:sz w:val="31"/>
          <w:szCs w:val="31"/>
        </w:rPr>
      </w:pPr>
      <w:r>
        <w:rPr>
          <w:rFonts w:hint="eastAsia" w:ascii="CESI仿宋-GB2312" w:hAnsi="CESI仿宋-GB2312" w:eastAsia="CESI仿宋-GB2312" w:cs="CESI仿宋-GB2312"/>
          <w:spacing w:val="6"/>
          <w:sz w:val="31"/>
          <w:szCs w:val="31"/>
        </w:rPr>
        <w:t>筑牢防涝安</w:t>
      </w:r>
      <w:r>
        <w:rPr>
          <w:rFonts w:hint="eastAsia" w:ascii="CESI仿宋-GB2312" w:hAnsi="CESI仿宋-GB2312" w:eastAsia="CESI仿宋-GB2312" w:cs="CESI仿宋-GB2312"/>
          <w:spacing w:val="8"/>
          <w:sz w:val="31"/>
          <w:szCs w:val="31"/>
        </w:rPr>
        <w:t>全屏障。持续优化智能防涝指挥系统，整合22个积水点监</w:t>
      </w:r>
      <w:r>
        <w:rPr>
          <w:rFonts w:hint="eastAsia" w:ascii="CESI仿宋-GB2312" w:hAnsi="CESI仿宋-GB2312" w:eastAsia="CESI仿宋-GB2312" w:cs="CESI仿宋-GB2312"/>
          <w:spacing w:val="9"/>
          <w:sz w:val="31"/>
          <w:szCs w:val="31"/>
        </w:rPr>
        <w:t>测、220余个智能井盖、5</w:t>
      </w:r>
      <w:r>
        <w:rPr>
          <w:rFonts w:hint="eastAsia" w:ascii="CESI仿宋-GB2312" w:hAnsi="CESI仿宋-GB2312" w:eastAsia="CESI仿宋-GB2312" w:cs="CESI仿宋-GB2312"/>
          <w:spacing w:val="-33"/>
          <w:sz w:val="31"/>
          <w:szCs w:val="31"/>
        </w:rPr>
        <w:t xml:space="preserve"> </w:t>
      </w:r>
      <w:r>
        <w:rPr>
          <w:rFonts w:hint="eastAsia" w:ascii="CESI仿宋-GB2312" w:hAnsi="CESI仿宋-GB2312" w:eastAsia="CESI仿宋-GB2312" w:cs="CESI仿宋-GB2312"/>
          <w:spacing w:val="9"/>
          <w:sz w:val="31"/>
          <w:szCs w:val="31"/>
        </w:rPr>
        <w:t>大湖水位视频及鹰眼监控资源，完成</w:t>
      </w:r>
      <w:r>
        <w:rPr>
          <w:rFonts w:hint="eastAsia" w:ascii="CESI仿宋-GB2312" w:hAnsi="CESI仿宋-GB2312" w:eastAsia="CESI仿宋-GB2312" w:cs="CESI仿宋-GB2312"/>
          <w:spacing w:val="-36"/>
          <w:sz w:val="31"/>
          <w:szCs w:val="31"/>
        </w:rPr>
        <w:t xml:space="preserve"> </w:t>
      </w:r>
      <w:r>
        <w:rPr>
          <w:rFonts w:hint="eastAsia" w:ascii="CESI仿宋-GB2312" w:hAnsi="CESI仿宋-GB2312" w:eastAsia="CESI仿宋-GB2312" w:cs="CESI仿宋-GB2312"/>
          <w:spacing w:val="9"/>
          <w:sz w:val="31"/>
          <w:szCs w:val="31"/>
        </w:rPr>
        <w:t>10</w:t>
      </w:r>
      <w:r>
        <w:rPr>
          <w:rFonts w:hint="eastAsia" w:ascii="CESI仿宋-GB2312" w:hAnsi="CESI仿宋-GB2312" w:eastAsia="CESI仿宋-GB2312" w:cs="CESI仿宋-GB2312"/>
          <w:spacing w:val="-41"/>
          <w:sz w:val="31"/>
          <w:szCs w:val="31"/>
        </w:rPr>
        <w:t xml:space="preserve"> </w:t>
      </w:r>
      <w:r>
        <w:rPr>
          <w:rFonts w:hint="eastAsia" w:ascii="CESI仿宋-GB2312" w:hAnsi="CESI仿宋-GB2312" w:eastAsia="CESI仿宋-GB2312" w:cs="CESI仿宋-GB2312"/>
          <w:spacing w:val="9"/>
          <w:sz w:val="31"/>
          <w:szCs w:val="31"/>
        </w:rPr>
        <w:t>类城管要素数据对接。汛期来临之际，</w:t>
      </w:r>
      <w:r>
        <w:rPr>
          <w:rFonts w:hint="eastAsia" w:ascii="CESI仿宋-GB2312" w:hAnsi="CESI仿宋-GB2312" w:eastAsia="CESI仿宋-GB2312" w:cs="CESI仿宋-GB2312"/>
          <w:spacing w:val="-81"/>
          <w:sz w:val="31"/>
          <w:szCs w:val="31"/>
        </w:rPr>
        <w:t xml:space="preserve"> </w:t>
      </w:r>
      <w:r>
        <w:rPr>
          <w:rFonts w:hint="eastAsia" w:ascii="CESI仿宋-GB2312" w:hAnsi="CESI仿宋-GB2312" w:eastAsia="CESI仿宋-GB2312" w:cs="CESI仿宋-GB2312"/>
          <w:spacing w:val="9"/>
          <w:sz w:val="31"/>
          <w:szCs w:val="31"/>
        </w:rPr>
        <w:t>中心支部带头坚守岗位，组织干部职工通宵驻守指挥平台，精准</w:t>
      </w:r>
      <w:r>
        <w:rPr>
          <w:rFonts w:hint="eastAsia" w:ascii="CESI仿宋-GB2312" w:hAnsi="CESI仿宋-GB2312" w:eastAsia="CESI仿宋-GB2312" w:cs="CESI仿宋-GB2312"/>
          <w:spacing w:val="8"/>
          <w:sz w:val="31"/>
          <w:szCs w:val="31"/>
        </w:rPr>
        <w:t>调度排</w:t>
      </w:r>
      <w:r>
        <w:rPr>
          <w:rFonts w:hint="eastAsia" w:ascii="CESI仿宋-GB2312" w:hAnsi="CESI仿宋-GB2312" w:eastAsia="CESI仿宋-GB2312" w:cs="CESI仿宋-GB2312"/>
          <w:spacing w:val="9"/>
          <w:sz w:val="31"/>
          <w:szCs w:val="31"/>
        </w:rPr>
        <w:t>涝力量，发布预警信息数十次，全力保障市民出行安全。</w:t>
      </w:r>
    </w:p>
    <w:p w14:paraId="2CC9F1D5">
      <w:pPr>
        <w:spacing w:before="198" w:line="344" w:lineRule="auto"/>
        <w:ind w:left="26" w:firstLine="648"/>
        <w:jc w:val="both"/>
        <w:rPr>
          <w:rFonts w:ascii="FangSong_GB2312" w:hAnsi="FangSong_GB2312" w:eastAsia="FangSong_GB2312" w:cs="FangSong_GB2312"/>
          <w:sz w:val="31"/>
          <w:szCs w:val="31"/>
        </w:rPr>
      </w:pPr>
      <w:r>
        <w:rPr>
          <w:rFonts w:hint="eastAsia" w:ascii="CESI仿宋-GB2312" w:hAnsi="CESI仿宋-GB2312" w:eastAsia="CESI仿宋-GB2312" w:cs="CESI仿宋-GB2312"/>
          <w:spacing w:val="12"/>
          <w:sz w:val="31"/>
          <w:szCs w:val="31"/>
        </w:rPr>
        <w:t>在2024</w:t>
      </w:r>
      <w:r>
        <w:rPr>
          <w:rFonts w:hint="eastAsia" w:ascii="CESI仿宋-GB2312" w:hAnsi="CESI仿宋-GB2312" w:eastAsia="CESI仿宋-GB2312" w:cs="CESI仿宋-GB2312"/>
          <w:spacing w:val="-51"/>
          <w:sz w:val="31"/>
          <w:szCs w:val="31"/>
        </w:rPr>
        <w:t xml:space="preserve"> </w:t>
      </w:r>
      <w:r>
        <w:rPr>
          <w:rFonts w:hint="eastAsia" w:ascii="CESI仿宋-GB2312" w:hAnsi="CESI仿宋-GB2312" w:eastAsia="CESI仿宋-GB2312" w:cs="CESI仿宋-GB2312"/>
          <w:spacing w:val="12"/>
          <w:sz w:val="31"/>
          <w:szCs w:val="31"/>
        </w:rPr>
        <w:t>年成功申报全省城市基</w:t>
      </w:r>
      <w:r>
        <w:rPr>
          <w:rFonts w:hint="eastAsia" w:ascii="CESI仿宋-GB2312" w:hAnsi="CESI仿宋-GB2312" w:eastAsia="CESI仿宋-GB2312" w:cs="CESI仿宋-GB2312"/>
          <w:spacing w:val="5"/>
          <w:sz w:val="31"/>
          <w:szCs w:val="31"/>
        </w:rPr>
        <w:t>础设施生命线安全工程试点的基础上，2025</w:t>
      </w:r>
      <w:r>
        <w:rPr>
          <w:rFonts w:hint="eastAsia" w:ascii="CESI仿宋-GB2312" w:hAnsi="CESI仿宋-GB2312" w:eastAsia="CESI仿宋-GB2312" w:cs="CESI仿宋-GB2312"/>
          <w:spacing w:val="-58"/>
          <w:sz w:val="31"/>
          <w:szCs w:val="31"/>
        </w:rPr>
        <w:t xml:space="preserve"> </w:t>
      </w:r>
      <w:r>
        <w:rPr>
          <w:rFonts w:hint="eastAsia" w:ascii="CESI仿宋-GB2312" w:hAnsi="CESI仿宋-GB2312" w:eastAsia="CESI仿宋-GB2312" w:cs="CESI仿宋-GB2312"/>
          <w:spacing w:val="5"/>
          <w:sz w:val="31"/>
          <w:szCs w:val="31"/>
        </w:rPr>
        <w:t>年</w:t>
      </w:r>
      <w:r>
        <w:rPr>
          <w:rFonts w:hint="eastAsia" w:ascii="CESI仿宋-GB2312" w:hAnsi="CESI仿宋-GB2312" w:eastAsia="CESI仿宋-GB2312" w:cs="CESI仿宋-GB2312"/>
          <w:spacing w:val="4"/>
          <w:sz w:val="31"/>
          <w:szCs w:val="31"/>
        </w:rPr>
        <w:t>牵头推进城陵</w:t>
      </w:r>
      <w:r>
        <w:rPr>
          <w:rFonts w:hint="eastAsia" w:ascii="CESI仿宋-GB2312" w:hAnsi="CESI仿宋-GB2312" w:eastAsia="CESI仿宋-GB2312" w:cs="CESI仿宋-GB2312"/>
          <w:spacing w:val="2"/>
          <w:sz w:val="31"/>
          <w:szCs w:val="31"/>
        </w:rPr>
        <w:t>矶新港区100</w:t>
      </w:r>
      <w:r>
        <w:rPr>
          <w:rFonts w:hint="eastAsia" w:ascii="CESI仿宋-GB2312" w:hAnsi="CESI仿宋-GB2312" w:eastAsia="CESI仿宋-GB2312" w:cs="CESI仿宋-GB2312"/>
          <w:spacing w:val="-57"/>
          <w:sz w:val="31"/>
          <w:szCs w:val="31"/>
        </w:rPr>
        <w:t xml:space="preserve"> </w:t>
      </w:r>
      <w:r>
        <w:rPr>
          <w:rFonts w:hint="eastAsia" w:ascii="CESI仿宋-GB2312" w:hAnsi="CESI仿宋-GB2312" w:eastAsia="CESI仿宋-GB2312" w:cs="CESI仿宋-GB2312"/>
          <w:spacing w:val="2"/>
          <w:sz w:val="31"/>
          <w:szCs w:val="31"/>
        </w:rPr>
        <w:t>平方公里示范区建设，覆盖62</w:t>
      </w:r>
      <w:r>
        <w:rPr>
          <w:rFonts w:hint="eastAsia" w:ascii="CESI仿宋-GB2312" w:hAnsi="CESI仿宋-GB2312" w:eastAsia="CESI仿宋-GB2312" w:cs="CESI仿宋-GB2312"/>
          <w:spacing w:val="-63"/>
          <w:sz w:val="31"/>
          <w:szCs w:val="31"/>
        </w:rPr>
        <w:t xml:space="preserve"> </w:t>
      </w:r>
      <w:r>
        <w:rPr>
          <w:rFonts w:hint="eastAsia" w:ascii="CESI仿宋-GB2312" w:hAnsi="CESI仿宋-GB2312" w:eastAsia="CESI仿宋-GB2312" w:cs="CESI仿宋-GB2312"/>
          <w:spacing w:val="2"/>
          <w:sz w:val="31"/>
          <w:szCs w:val="31"/>
        </w:rPr>
        <w:t>公里燃气管网、</w:t>
      </w:r>
      <w:r>
        <w:rPr>
          <w:rFonts w:hint="eastAsia" w:ascii="CESI仿宋-GB2312" w:hAnsi="CESI仿宋-GB2312" w:eastAsia="CESI仿宋-GB2312" w:cs="CESI仿宋-GB2312"/>
          <w:spacing w:val="7"/>
          <w:sz w:val="31"/>
          <w:szCs w:val="31"/>
        </w:rPr>
        <w:t>264</w:t>
      </w:r>
      <w:r>
        <w:rPr>
          <w:rFonts w:hint="eastAsia" w:ascii="CESI仿宋-GB2312" w:hAnsi="CESI仿宋-GB2312" w:eastAsia="CESI仿宋-GB2312" w:cs="CESI仿宋-GB2312"/>
          <w:spacing w:val="-54"/>
          <w:sz w:val="31"/>
          <w:szCs w:val="31"/>
        </w:rPr>
        <w:t xml:space="preserve"> </w:t>
      </w:r>
      <w:r>
        <w:rPr>
          <w:rFonts w:hint="eastAsia" w:ascii="CESI仿宋-GB2312" w:hAnsi="CESI仿宋-GB2312" w:eastAsia="CESI仿宋-GB2312" w:cs="CESI仿宋-GB2312"/>
          <w:spacing w:val="7"/>
          <w:sz w:val="31"/>
          <w:szCs w:val="31"/>
        </w:rPr>
        <w:t>公里排水管网、83</w:t>
      </w:r>
      <w:r>
        <w:rPr>
          <w:rFonts w:hint="eastAsia" w:ascii="CESI仿宋-GB2312" w:hAnsi="CESI仿宋-GB2312" w:eastAsia="CESI仿宋-GB2312" w:cs="CESI仿宋-GB2312"/>
          <w:spacing w:val="-66"/>
          <w:sz w:val="31"/>
          <w:szCs w:val="31"/>
        </w:rPr>
        <w:t xml:space="preserve"> </w:t>
      </w:r>
      <w:r>
        <w:rPr>
          <w:rFonts w:hint="eastAsia" w:ascii="CESI仿宋-GB2312" w:hAnsi="CESI仿宋-GB2312" w:eastAsia="CESI仿宋-GB2312" w:cs="CESI仿宋-GB2312"/>
          <w:spacing w:val="7"/>
          <w:sz w:val="31"/>
          <w:szCs w:val="31"/>
        </w:rPr>
        <w:t>公里供水主干管网，有力支撑城市安</w:t>
      </w:r>
      <w:r>
        <w:rPr>
          <w:rFonts w:hint="eastAsia" w:ascii="CESI仿宋-GB2312" w:hAnsi="CESI仿宋-GB2312" w:eastAsia="CESI仿宋-GB2312" w:cs="CESI仿宋-GB2312"/>
          <w:spacing w:val="6"/>
          <w:sz w:val="31"/>
          <w:szCs w:val="31"/>
        </w:rPr>
        <w:t>全运行监测。指导平江县争取专项资金330万元，超</w:t>
      </w:r>
      <w:r>
        <w:rPr>
          <w:rFonts w:hint="eastAsia" w:ascii="CESI仿宋-GB2312" w:hAnsi="CESI仿宋-GB2312" w:eastAsia="CESI仿宋-GB2312" w:cs="CESI仿宋-GB2312"/>
          <w:spacing w:val="5"/>
          <w:sz w:val="31"/>
          <w:szCs w:val="31"/>
        </w:rPr>
        <w:t>额完成</w:t>
      </w:r>
      <w:r>
        <w:rPr>
          <w:rFonts w:hint="eastAsia" w:ascii="CESI仿宋-GB2312" w:hAnsi="CESI仿宋-GB2312" w:eastAsia="CESI仿宋-GB2312" w:cs="CESI仿宋-GB2312"/>
          <w:spacing w:val="6"/>
          <w:sz w:val="31"/>
          <w:szCs w:val="31"/>
        </w:rPr>
        <w:t>争资争项目</w:t>
      </w:r>
      <w:r>
        <w:rPr>
          <w:rFonts w:ascii="FangSong_GB2312" w:hAnsi="FangSong_GB2312" w:eastAsia="FangSong_GB2312" w:cs="FangSong_GB2312"/>
          <w:spacing w:val="17"/>
          <w:sz w:val="31"/>
          <w:szCs w:val="31"/>
        </w:rPr>
        <w:t>斩获数据创新佳绩。精心组织团队参与“数据要素</w:t>
      </w:r>
      <w:r>
        <w:rPr>
          <w:rFonts w:ascii="FangSong_GB2312" w:hAnsi="FangSong_GB2312" w:eastAsia="FangSong_GB2312" w:cs="FangSong_GB2312"/>
          <w:spacing w:val="-52"/>
          <w:sz w:val="31"/>
          <w:szCs w:val="31"/>
        </w:rPr>
        <w:t xml:space="preserve"> </w:t>
      </w:r>
      <w:r>
        <w:rPr>
          <w:rFonts w:ascii="FangSong_GB2312" w:hAnsi="FangSong_GB2312" w:eastAsia="FangSong_GB2312" w:cs="FangSong_GB2312"/>
          <w:spacing w:val="17"/>
          <w:sz w:val="31"/>
          <w:szCs w:val="31"/>
        </w:rPr>
        <w:t>X”</w:t>
      </w:r>
      <w:r>
        <w:rPr>
          <w:rFonts w:ascii="FangSong_GB2312" w:hAnsi="FangSong_GB2312" w:eastAsia="FangSong_GB2312" w:cs="FangSong_GB2312"/>
          <w:spacing w:val="9"/>
          <w:sz w:val="31"/>
          <w:szCs w:val="31"/>
        </w:rPr>
        <w:t>专业比赛，凭借高质量参赛作品荣获市级三等奖，</w:t>
      </w:r>
      <w:r>
        <w:rPr>
          <w:rFonts w:ascii="FangSong_GB2312" w:hAnsi="FangSong_GB2312" w:eastAsia="FangSong_GB2312" w:cs="FangSong_GB2312"/>
          <w:spacing w:val="8"/>
          <w:sz w:val="31"/>
          <w:szCs w:val="31"/>
        </w:rPr>
        <w:t>充分展现智慧城管创新实力与专业素养。</w:t>
      </w:r>
    </w:p>
    <w:p w14:paraId="571870C9">
      <w:pPr>
        <w:pStyle w:val="3"/>
        <w:ind w:firstLine="640" w:firstLineChars="200"/>
        <w:rPr>
          <w:rFonts w:hint="eastAsia"/>
          <w:color w:val="auto"/>
          <w:lang w:eastAsia="zh-CN"/>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color w:val="auto"/>
          <w:kern w:val="0"/>
          <w:sz w:val="32"/>
          <w:szCs w:val="32"/>
          <w:lang w:val="en-US" w:eastAsia="zh-CN"/>
        </w:rPr>
        <w:t>本单位为二级预算单位，部门评价开展情况可详见上级部门决算公开说明。</w:t>
      </w:r>
    </w:p>
    <w:p w14:paraId="431ED17E">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color w:val="auto"/>
          <w:sz w:val="32"/>
          <w:szCs w:val="32"/>
          <w:lang w:eastAsia="zh-CN"/>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color w:val="auto"/>
          <w:kern w:val="0"/>
          <w:sz w:val="32"/>
          <w:szCs w:val="32"/>
          <w:lang w:val="en-US" w:eastAsia="zh-CN"/>
        </w:rPr>
        <w:t>本单位为二级预算单位，事前绩效评估开展情况可详见上级部门决算公开说明。</w:t>
      </w:r>
    </w:p>
    <w:p w14:paraId="5FD409E0">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3319BD3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仿宋_GB2312" w:hAnsi="仿宋_GB2312" w:eastAsia="仿宋_GB2312" w:cs="仿宋_GB2312"/>
          <w:sz w:val="32"/>
          <w:szCs w:val="32"/>
          <w:lang w:val="en-US" w:eastAsia="zh-CN"/>
        </w:rPr>
        <w:t>根据年初设定的绩效目标，年初财政项目预算数为</w:t>
      </w:r>
      <w:r>
        <w:rPr>
          <w:rFonts w:hint="eastAsia" w:ascii="仿宋_GB2312" w:hAnsi="仿宋_GB2312" w:eastAsia="仿宋_GB2312" w:cs="仿宋_GB2312"/>
          <w:color w:val="auto"/>
          <w:sz w:val="32"/>
          <w:szCs w:val="32"/>
          <w:lang w:val="en-US" w:eastAsia="zh-CN"/>
        </w:rPr>
        <w:t>60</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b w:val="0"/>
          <w:bCs w:val="0"/>
          <w:color w:val="auto"/>
          <w:sz w:val="32"/>
          <w:szCs w:val="32"/>
          <w:lang w:eastAsia="zh-CN"/>
        </w:rPr>
        <w:t>年中项目预算金额调整为</w:t>
      </w:r>
      <w:r>
        <w:rPr>
          <w:rFonts w:hint="default" w:ascii="仿宋_GB2312" w:hAnsi="仿宋_GB2312" w:eastAsia="仿宋_GB2312" w:cs="仿宋_GB2312"/>
          <w:b w:val="0"/>
          <w:bCs w:val="0"/>
          <w:color w:val="auto"/>
          <w:sz w:val="32"/>
          <w:szCs w:val="32"/>
          <w:lang w:val="en-US" w:eastAsia="zh-CN"/>
        </w:rPr>
        <w:t>562.86</w:t>
      </w:r>
      <w:r>
        <w:rPr>
          <w:rFonts w:hint="eastAsia" w:ascii="仿宋_GB2312" w:hAnsi="仿宋_GB2312" w:eastAsia="仿宋_GB2312" w:cs="仿宋_GB2312"/>
          <w:b w:val="0"/>
          <w:bCs w:val="0"/>
          <w:color w:val="auto"/>
          <w:sz w:val="32"/>
          <w:szCs w:val="32"/>
          <w:lang w:val="en-US" w:eastAsia="zh-CN"/>
        </w:rPr>
        <w:t>万元，</w:t>
      </w:r>
      <w:r>
        <w:rPr>
          <w:rFonts w:hint="eastAsia" w:ascii="仿宋_GB2312" w:hAnsi="仿宋_GB2312" w:eastAsia="仿宋_GB2312" w:cs="仿宋_GB2312"/>
          <w:sz w:val="32"/>
          <w:szCs w:val="32"/>
          <w:lang w:val="en-US" w:eastAsia="zh-CN"/>
        </w:rPr>
        <w:t>执行数为558.31万元，完成预算的93.89%。</w:t>
      </w:r>
      <w:r>
        <w:rPr>
          <w:rFonts w:hint="eastAsia" w:ascii="仿宋_GB2312" w:hAnsi="仿宋_GB2312" w:eastAsia="仿宋_GB2312" w:cs="仿宋_GB2312"/>
          <w:b w:val="0"/>
          <w:bCs w:val="0"/>
          <w:color w:val="000000"/>
          <w:kern w:val="0"/>
          <w:sz w:val="32"/>
          <w:szCs w:val="32"/>
          <w:lang w:val="en-US" w:eastAsia="zh-CN" w:bidi="ar-SA"/>
        </w:rPr>
        <w:t>部门评价得分</w:t>
      </w:r>
      <w:r>
        <w:rPr>
          <w:rFonts w:hint="eastAsia" w:ascii="仿宋_GB2312" w:hAnsi="仿宋_GB2312" w:eastAsia="仿宋_GB2312" w:cs="仿宋_GB2312"/>
          <w:sz w:val="32"/>
          <w:szCs w:val="32"/>
          <w:lang w:val="en-US" w:eastAsia="zh-CN"/>
        </w:rPr>
        <w:t>92.95</w:t>
      </w:r>
      <w:r>
        <w:rPr>
          <w:rFonts w:hint="eastAsia" w:ascii="仿宋_GB2312" w:hAnsi="仿宋_GB2312" w:eastAsia="仿宋_GB2312" w:cs="仿宋_GB2312"/>
          <w:b w:val="0"/>
          <w:bCs w:val="0"/>
          <w:color w:val="000000"/>
          <w:kern w:val="0"/>
          <w:sz w:val="32"/>
          <w:szCs w:val="32"/>
          <w:lang w:val="en-US" w:eastAsia="zh-CN" w:bidi="ar-SA"/>
        </w:rPr>
        <w:t>分，评价等级为优秀。</w:t>
      </w:r>
    </w:p>
    <w:p w14:paraId="73D66A0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绩效目标完成情况：一是</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rPr>
        <w:t>级智慧化城市管理系统的建设和日常维护管理工作</w:t>
      </w:r>
      <w:r>
        <w:rPr>
          <w:rFonts w:hint="eastAsia" w:ascii="仿宋_GB2312" w:hAnsi="仿宋_GB2312" w:eastAsia="仿宋_GB2312" w:cs="仿宋_GB2312"/>
          <w:sz w:val="32"/>
          <w:szCs w:val="32"/>
          <w:lang w:val="en-US" w:eastAsia="zh-CN"/>
        </w:rPr>
        <w:t>；二是</w:t>
      </w:r>
      <w:r>
        <w:rPr>
          <w:rFonts w:hint="eastAsia" w:ascii="仿宋_GB2312" w:hAnsi="仿宋_GB2312" w:eastAsia="仿宋_GB2312" w:cs="仿宋_GB2312"/>
          <w:sz w:val="32"/>
          <w:szCs w:val="32"/>
        </w:rPr>
        <w:t>市城市管理信息网和岳阳城管微信公众号的建设和运行管理工作</w:t>
      </w:r>
      <w:r>
        <w:rPr>
          <w:rFonts w:hint="eastAsia" w:ascii="仿宋_GB2312" w:hAnsi="仿宋_GB2312" w:eastAsia="仿宋_GB2312" w:cs="仿宋_GB2312"/>
          <w:sz w:val="32"/>
          <w:szCs w:val="32"/>
          <w:lang w:eastAsia="zh-CN"/>
        </w:rPr>
        <w:t>如期完成；</w:t>
      </w: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市城区智慧化城市管理监督、指挥、调度和考核的事务性工作</w:t>
      </w:r>
      <w:r>
        <w:rPr>
          <w:rFonts w:hint="eastAsia" w:ascii="仿宋_GB2312" w:hAnsi="仿宋_GB2312" w:eastAsia="仿宋_GB2312" w:cs="仿宋_GB2312"/>
          <w:sz w:val="32"/>
          <w:szCs w:val="32"/>
          <w:lang w:eastAsia="zh-CN"/>
        </w:rPr>
        <w:t>，及时完成了</w:t>
      </w:r>
      <w:r>
        <w:rPr>
          <w:rFonts w:hint="eastAsia" w:ascii="仿宋_GB2312" w:hAnsi="仿宋_GB2312" w:eastAsia="仿宋_GB2312" w:cs="仿宋_GB2312"/>
          <w:sz w:val="32"/>
          <w:szCs w:val="32"/>
        </w:rPr>
        <w:t>城市管理各类信息的收集、分析和整理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四是及时</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办理城市管理问题投诉、举报和12345公众服务热线转办件的行政辅助性工作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五是</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eastAsia="zh-CN"/>
        </w:rPr>
        <w:t>了主</w:t>
      </w:r>
      <w:r>
        <w:rPr>
          <w:rFonts w:hint="eastAsia" w:ascii="仿宋_GB2312" w:hAnsi="仿宋_GB2312" w:eastAsia="仿宋_GB2312" w:cs="仿宋_GB2312"/>
          <w:sz w:val="32"/>
          <w:szCs w:val="32"/>
        </w:rPr>
        <w:t>城区</w:t>
      </w:r>
      <w:r>
        <w:rPr>
          <w:rFonts w:hint="eastAsia" w:ascii="仿宋_GB2312" w:hAnsi="仿宋_GB2312" w:eastAsia="仿宋_GB2312" w:cs="仿宋_GB2312"/>
          <w:sz w:val="32"/>
          <w:szCs w:val="32"/>
          <w:lang w:val="en-US" w:eastAsia="zh-CN"/>
        </w:rPr>
        <w:t>防涝指挥系统的安全保障工作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六是</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市城市管理和综合执法交办的其他工作。</w:t>
      </w:r>
    </w:p>
    <w:p w14:paraId="0E83F7C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从绩效评价总体情况来看，</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资金支出较规范，</w:t>
      </w:r>
      <w:r>
        <w:rPr>
          <w:rFonts w:hint="eastAsia" w:ascii="仿宋_GB2312" w:hAnsi="仿宋_GB2312" w:eastAsia="仿宋_GB2312" w:cs="仿宋_GB2312"/>
          <w:sz w:val="32"/>
          <w:szCs w:val="32"/>
          <w:lang w:val="en-US" w:eastAsia="zh-CN"/>
        </w:rPr>
        <w:t>积极</w:t>
      </w:r>
      <w:r>
        <w:rPr>
          <w:rFonts w:hint="eastAsia" w:ascii="仿宋_GB2312" w:hAnsi="仿宋_GB2312" w:eastAsia="仿宋_GB2312" w:cs="仿宋_GB2312"/>
          <w:sz w:val="32"/>
          <w:szCs w:val="32"/>
        </w:rPr>
        <w:t>推</w:t>
      </w:r>
      <w:r>
        <w:rPr>
          <w:rFonts w:hint="eastAsia" w:ascii="仿宋_GB2312" w:hAnsi="仿宋_GB2312" w:eastAsia="仿宋_GB2312" w:cs="仿宋_GB2312"/>
          <w:sz w:val="32"/>
          <w:szCs w:val="32"/>
          <w:lang w:val="en-US" w:eastAsia="zh-CN"/>
        </w:rPr>
        <w:t>动了以精细城管“提质”、智慧城管“赋能”、人本城管“造福”、绿色城管“安居”、文化城管“铸魂”、平安城管“夯基”的工作目标，为城市管理相关单位提供了耳目和抓手作用，大大提升了城市管理工作效率，城市管理</w:t>
      </w:r>
      <w:r>
        <w:rPr>
          <w:rFonts w:hint="eastAsia" w:ascii="仿宋_GB2312" w:hAnsi="仿宋_GB2312" w:eastAsia="仿宋_GB2312" w:cs="仿宋_GB2312"/>
          <w:sz w:val="32"/>
          <w:szCs w:val="32"/>
        </w:rPr>
        <w:t>事业发展</w:t>
      </w:r>
      <w:r>
        <w:rPr>
          <w:rFonts w:hint="eastAsia" w:ascii="仿宋_GB2312" w:hAnsi="仿宋_GB2312" w:eastAsia="仿宋_GB2312" w:cs="仿宋_GB2312"/>
          <w:sz w:val="32"/>
          <w:szCs w:val="32"/>
          <w:lang w:val="en-US" w:eastAsia="zh-CN"/>
        </w:rPr>
        <w:t>再上新台阶，增加了市民的获得感和幸福感，得到了各级领导和市民的一致好评</w:t>
      </w:r>
      <w:r>
        <w:rPr>
          <w:rFonts w:hint="eastAsia" w:ascii="仿宋_GB2312" w:hAnsi="仿宋_GB2312" w:eastAsia="仿宋_GB2312" w:cs="仿宋_GB2312"/>
          <w:sz w:val="32"/>
          <w:szCs w:val="32"/>
        </w:rPr>
        <w:t>。</w:t>
      </w:r>
    </w:p>
    <w:p w14:paraId="41058E9E">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0941C732">
      <w:pPr>
        <w:pStyle w:val="1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color w:val="auto"/>
          <w:sz w:val="32"/>
          <w:szCs w:val="32"/>
          <w:lang w:eastAsia="zh-CN"/>
        </w:rPr>
        <w:t>存在的</w:t>
      </w:r>
      <w:r>
        <w:rPr>
          <w:rFonts w:hint="eastAsia" w:ascii="仿宋_GB2312" w:hAnsi="仿宋_GB2312" w:eastAsia="仿宋_GB2312" w:cs="仿宋_GB2312"/>
          <w:b w:val="0"/>
          <w:bCs w:val="0"/>
          <w:color w:val="000000"/>
          <w:kern w:val="0"/>
          <w:sz w:val="32"/>
          <w:szCs w:val="32"/>
          <w:lang w:val="en-US" w:eastAsia="zh-CN" w:bidi="ar-SA"/>
        </w:rPr>
        <w:t>主要问题及原因：一</w:t>
      </w:r>
      <w:r>
        <w:rPr>
          <w:rFonts w:ascii="FangSong_GB2312" w:hAnsi="FangSong_GB2312" w:eastAsia="FangSong_GB2312" w:cs="FangSong_GB2312"/>
          <w:spacing w:val="7"/>
          <w:sz w:val="31"/>
          <w:szCs w:val="31"/>
        </w:rPr>
        <w:t>市财政实行零基预算后，信</w:t>
      </w:r>
      <w:r>
        <w:rPr>
          <w:rFonts w:ascii="FangSong_GB2312" w:hAnsi="FangSong_GB2312" w:eastAsia="FangSong_GB2312" w:cs="FangSong_GB2312"/>
          <w:spacing w:val="9"/>
          <w:sz w:val="31"/>
          <w:szCs w:val="31"/>
        </w:rPr>
        <w:t>息采集劳务外包项目经费未纳入民生保障重点范畴，</w:t>
      </w:r>
      <w:r>
        <w:rPr>
          <w:rFonts w:ascii="FangSong_GB2312" w:hAnsi="FangSong_GB2312" w:eastAsia="FangSong_GB2312" w:cs="FangSong_GB2312"/>
          <w:spacing w:val="8"/>
          <w:sz w:val="31"/>
          <w:szCs w:val="31"/>
        </w:rPr>
        <w:t>面临大</w:t>
      </w:r>
      <w:r>
        <w:rPr>
          <w:rFonts w:ascii="FangSong_GB2312" w:hAnsi="FangSong_GB2312" w:eastAsia="FangSong_GB2312" w:cs="FangSong_GB2312"/>
          <w:spacing w:val="9"/>
          <w:sz w:val="31"/>
          <w:szCs w:val="31"/>
        </w:rPr>
        <w:t>幅压减或取消风险，影响问题发现源头效能；智慧城</w:t>
      </w:r>
      <w:r>
        <w:rPr>
          <w:rFonts w:ascii="FangSong_GB2312" w:hAnsi="FangSong_GB2312" w:eastAsia="FangSong_GB2312" w:cs="FangSong_GB2312"/>
          <w:spacing w:val="8"/>
          <w:sz w:val="31"/>
          <w:szCs w:val="31"/>
        </w:rPr>
        <w:t>管平台</w:t>
      </w:r>
      <w:r>
        <w:rPr>
          <w:rFonts w:ascii="FangSong_GB2312" w:hAnsi="FangSong_GB2312" w:eastAsia="FangSong_GB2312" w:cs="FangSong_GB2312"/>
          <w:spacing w:val="10"/>
          <w:sz w:val="31"/>
          <w:szCs w:val="31"/>
        </w:rPr>
        <w:t>运行经费缩减，导致坐席员人数减少</w:t>
      </w:r>
      <w:r>
        <w:rPr>
          <w:rFonts w:ascii="FangSong_GB2312" w:hAnsi="FangSong_GB2312" w:eastAsia="FangSong_GB2312" w:cs="FangSong_GB2312"/>
          <w:spacing w:val="-41"/>
          <w:sz w:val="31"/>
          <w:szCs w:val="31"/>
        </w:rPr>
        <w:t xml:space="preserve"> </w:t>
      </w:r>
      <w:r>
        <w:rPr>
          <w:rFonts w:ascii="FangSong_GB2312" w:hAnsi="FangSong_GB2312" w:eastAsia="FangSong_GB2312" w:cs="FangSong_GB2312"/>
          <w:spacing w:val="10"/>
          <w:sz w:val="31"/>
          <w:szCs w:val="31"/>
        </w:rPr>
        <w:t>25%，工作人员长期超</w:t>
      </w:r>
      <w:r>
        <w:rPr>
          <w:rFonts w:ascii="FangSong_GB2312" w:hAnsi="FangSong_GB2312" w:eastAsia="FangSong_GB2312" w:cs="FangSong_GB2312"/>
          <w:spacing w:val="9"/>
          <w:sz w:val="31"/>
          <w:szCs w:val="31"/>
        </w:rPr>
        <w:t>负荷工作，制约人工研判效率与队伍稳定</w:t>
      </w:r>
      <w:r>
        <w:rPr>
          <w:rFonts w:hint="eastAsia" w:ascii="仿宋_GB2312" w:hAnsi="仿宋_GB2312" w:eastAsia="仿宋_GB2312" w:cs="仿宋_GB2312"/>
          <w:b w:val="0"/>
          <w:bCs w:val="0"/>
          <w:color w:val="000000"/>
          <w:kern w:val="0"/>
          <w:sz w:val="32"/>
          <w:szCs w:val="32"/>
          <w:lang w:val="en-US" w:eastAsia="zh-CN" w:bidi="ar-SA"/>
        </w:rPr>
        <w:t>；二是</w:t>
      </w:r>
      <w:r>
        <w:rPr>
          <w:rFonts w:ascii="KaiTi_GB2312" w:hAnsi="KaiTi_GB2312" w:eastAsia="KaiTi_GB2312" w:cs="KaiTi_GB2312"/>
          <w:b w:val="0"/>
          <w:bCs w:val="0"/>
          <w:spacing w:val="7"/>
          <w:sz w:val="31"/>
          <w:szCs w:val="31"/>
        </w:rPr>
        <w:t>项目建设有待完善。</w:t>
      </w:r>
      <w:r>
        <w:rPr>
          <w:rFonts w:ascii="FangSong_GB2312" w:hAnsi="FangSong_GB2312" w:eastAsia="FangSong_GB2312" w:cs="FangSong_GB2312"/>
          <w:spacing w:val="7"/>
          <w:sz w:val="31"/>
          <w:szCs w:val="31"/>
        </w:rPr>
        <w:t>对照省级建设指南及外地先</w:t>
      </w:r>
      <w:r>
        <w:rPr>
          <w:rFonts w:ascii="FangSong_GB2312" w:hAnsi="FangSong_GB2312" w:eastAsia="FangSong_GB2312" w:cs="FangSong_GB2312"/>
          <w:spacing w:val="9"/>
          <w:sz w:val="31"/>
          <w:szCs w:val="31"/>
        </w:rPr>
        <w:t>进经验，城市基础设施生命线安全工程尚未涵盖全</w:t>
      </w:r>
      <w:r>
        <w:rPr>
          <w:rFonts w:ascii="FangSong_GB2312" w:hAnsi="FangSong_GB2312" w:eastAsia="FangSong_GB2312" w:cs="FangSong_GB2312"/>
          <w:spacing w:val="8"/>
          <w:sz w:val="31"/>
          <w:szCs w:val="31"/>
        </w:rPr>
        <w:t>部软件建</w:t>
      </w:r>
      <w:r>
        <w:rPr>
          <w:rFonts w:ascii="FangSong_GB2312" w:hAnsi="FangSong_GB2312" w:eastAsia="FangSong_GB2312" w:cs="FangSong_GB2312"/>
          <w:spacing w:val="9"/>
          <w:sz w:val="31"/>
          <w:szCs w:val="31"/>
        </w:rPr>
        <w:t>设内容，难以满足全市推广需求，精细化管理与监</w:t>
      </w:r>
      <w:r>
        <w:rPr>
          <w:rFonts w:ascii="FangSong_GB2312" w:hAnsi="FangSong_GB2312" w:eastAsia="FangSong_GB2312" w:cs="FangSong_GB2312"/>
          <w:spacing w:val="8"/>
          <w:sz w:val="31"/>
          <w:szCs w:val="31"/>
        </w:rPr>
        <w:t>测预警能</w:t>
      </w:r>
      <w:r>
        <w:rPr>
          <w:rFonts w:ascii="FangSong_GB2312" w:hAnsi="FangSong_GB2312" w:eastAsia="FangSong_GB2312" w:cs="FangSong_GB2312"/>
          <w:spacing w:val="5"/>
          <w:sz w:val="31"/>
          <w:szCs w:val="31"/>
        </w:rPr>
        <w:t>力仍需提升</w:t>
      </w:r>
      <w:r>
        <w:rPr>
          <w:rFonts w:hint="eastAsia" w:ascii="仿宋_GB2312" w:hAnsi="仿宋_GB2312" w:eastAsia="仿宋_GB2312" w:cs="仿宋_GB2312"/>
          <w:b w:val="0"/>
          <w:bCs w:val="0"/>
          <w:color w:val="000000"/>
          <w:kern w:val="0"/>
          <w:sz w:val="32"/>
          <w:szCs w:val="32"/>
          <w:lang w:val="en-US" w:eastAsia="zh-CN" w:bidi="ar-SA"/>
        </w:rPr>
        <w:t>。</w:t>
      </w:r>
    </w:p>
    <w:p w14:paraId="00D7645B">
      <w:pPr>
        <w:ind w:firstLine="640" w:firstLineChars="200"/>
      </w:pPr>
      <w:r>
        <w:rPr>
          <w:rFonts w:hint="eastAsia" w:ascii="仿宋_GB2312" w:hAnsi="仿宋_GB2312" w:eastAsia="仿宋_GB2312" w:cs="仿宋_GB2312"/>
          <w:b w:val="0"/>
          <w:bCs w:val="0"/>
          <w:color w:val="000000"/>
          <w:kern w:val="0"/>
          <w:sz w:val="32"/>
          <w:szCs w:val="32"/>
          <w:lang w:val="en-US" w:eastAsia="zh-CN" w:bidi="ar-SA"/>
        </w:rPr>
        <w:t>下一步改进措施：</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是</w:t>
      </w:r>
      <w:r>
        <w:rPr>
          <w:rFonts w:ascii="FangSong_GB2312" w:hAnsi="FangSong_GB2312" w:eastAsia="FangSong_GB2312" w:cs="FangSong_GB2312"/>
          <w:spacing w:val="8"/>
          <w:sz w:val="31"/>
          <w:szCs w:val="31"/>
        </w:rPr>
        <w:t>通过内部统筹、力量调配、流程优化，在降低经费支出的同时，保障问题发现与处置质效</w:t>
      </w:r>
      <w:r>
        <w:rPr>
          <w:rFonts w:hint="eastAsia" w:ascii="FangSong_GB2312" w:hAnsi="FangSong_GB2312" w:eastAsia="FangSong_GB2312" w:cs="FangSong_GB2312"/>
          <w:spacing w:val="8"/>
          <w:sz w:val="31"/>
          <w:szCs w:val="31"/>
          <w:lang w:eastAsia="zh-CN"/>
        </w:rPr>
        <w:t>；</w:t>
      </w:r>
      <w:r>
        <w:rPr>
          <w:rFonts w:hint="eastAsia" w:ascii="仿宋_GB2312" w:hAnsi="仿宋_GB2312" w:eastAsia="仿宋_GB2312" w:cs="仿宋_GB2312"/>
          <w:sz w:val="32"/>
          <w:szCs w:val="32"/>
          <w:lang w:val="en-US" w:eastAsia="zh-CN"/>
        </w:rPr>
        <w:t>二是</w:t>
      </w:r>
      <w:r>
        <w:rPr>
          <w:rFonts w:ascii="KaiTi_GB2312" w:hAnsi="KaiTi_GB2312" w:eastAsia="KaiTi_GB2312" w:cs="KaiTi_GB2312"/>
          <w:b w:val="0"/>
          <w:bCs w:val="0"/>
          <w:spacing w:val="6"/>
          <w:sz w:val="31"/>
          <w:szCs w:val="31"/>
        </w:rPr>
        <w:t>深化智慧建设，提升治理效能。</w:t>
      </w:r>
      <w:r>
        <w:rPr>
          <w:rFonts w:ascii="FangSong_GB2312" w:hAnsi="FangSong_GB2312" w:eastAsia="FangSong_GB2312" w:cs="FangSong_GB2312"/>
          <w:spacing w:val="6"/>
          <w:sz w:val="31"/>
          <w:szCs w:val="31"/>
        </w:rPr>
        <w:t>对标《湖南省城</w:t>
      </w:r>
      <w:r>
        <w:rPr>
          <w:rFonts w:ascii="FangSong_GB2312" w:hAnsi="FangSong_GB2312" w:eastAsia="FangSong_GB2312" w:cs="FangSong_GB2312"/>
          <w:spacing w:val="9"/>
          <w:sz w:val="31"/>
          <w:szCs w:val="31"/>
        </w:rPr>
        <w:t>市基础设施生命线安全工程建设指南（试行）》，重</w:t>
      </w:r>
      <w:r>
        <w:rPr>
          <w:rFonts w:ascii="FangSong_GB2312" w:hAnsi="FangSong_GB2312" w:eastAsia="FangSong_GB2312" w:cs="FangSong_GB2312"/>
          <w:spacing w:val="8"/>
          <w:sz w:val="31"/>
          <w:szCs w:val="31"/>
        </w:rPr>
        <w:t>点推进</w:t>
      </w:r>
      <w:r>
        <w:rPr>
          <w:rFonts w:ascii="FangSong_GB2312" w:hAnsi="FangSong_GB2312" w:eastAsia="FangSong_GB2312" w:cs="FangSong_GB2312"/>
          <w:spacing w:val="9"/>
          <w:sz w:val="31"/>
          <w:szCs w:val="31"/>
        </w:rPr>
        <w:t>移动领导驾驶舱、监测设备闭环管理系统等建设，实</w:t>
      </w:r>
      <w:r>
        <w:rPr>
          <w:rFonts w:ascii="FangSong_GB2312" w:hAnsi="FangSong_GB2312" w:eastAsia="FangSong_GB2312" w:cs="FangSong_GB2312"/>
          <w:spacing w:val="8"/>
          <w:sz w:val="31"/>
          <w:szCs w:val="31"/>
        </w:rPr>
        <w:t>现物联</w:t>
      </w:r>
      <w:r>
        <w:rPr>
          <w:rFonts w:ascii="FangSong_GB2312" w:hAnsi="FangSong_GB2312" w:eastAsia="FangSong_GB2312" w:cs="FangSong_GB2312"/>
          <w:spacing w:val="9"/>
          <w:sz w:val="31"/>
          <w:szCs w:val="31"/>
        </w:rPr>
        <w:t>设备、基础设施及风险数据全面覆盖与动态监管，为</w:t>
      </w:r>
      <w:r>
        <w:rPr>
          <w:rFonts w:ascii="FangSong_GB2312" w:hAnsi="FangSong_GB2312" w:eastAsia="FangSong_GB2312" w:cs="FangSong_GB2312"/>
          <w:spacing w:val="8"/>
          <w:sz w:val="31"/>
          <w:szCs w:val="31"/>
        </w:rPr>
        <w:t>全市推</w:t>
      </w:r>
      <w:r>
        <w:rPr>
          <w:rFonts w:ascii="FangSong_GB2312" w:hAnsi="FangSong_GB2312" w:eastAsia="FangSong_GB2312" w:cs="FangSong_GB2312"/>
          <w:spacing w:val="14"/>
          <w:sz w:val="31"/>
          <w:szCs w:val="31"/>
        </w:rPr>
        <w:t>广奠定基础。</w:t>
      </w:r>
    </w:p>
    <w:p w14:paraId="601F9EF7">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71071702">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734F5810">
      <w:pPr>
        <w:pStyle w:val="17"/>
        <w:jc w:val="both"/>
        <w:rPr>
          <w:rFonts w:hint="eastAsia" w:ascii="方正小标宋_GBK" w:hAnsi="方正小标宋_GBK" w:eastAsia="方正小标宋_GBK" w:cs="方正小标宋_GBK"/>
          <w:sz w:val="44"/>
          <w:szCs w:val="44"/>
        </w:rPr>
      </w:pPr>
    </w:p>
    <w:p w14:paraId="148370BB">
      <w:pPr>
        <w:pStyle w:val="17"/>
        <w:jc w:val="center"/>
        <w:rPr>
          <w:rFonts w:hint="eastAsia" w:ascii="方正小标宋_GBK" w:hAnsi="方正小标宋_GBK" w:eastAsia="方正小标宋_GBK" w:cs="方正小标宋_GBK"/>
          <w:sz w:val="72"/>
          <w:szCs w:val="72"/>
        </w:rPr>
      </w:pPr>
    </w:p>
    <w:p w14:paraId="3CD06FC5">
      <w:pPr>
        <w:pStyle w:val="17"/>
        <w:jc w:val="center"/>
        <w:rPr>
          <w:rFonts w:hint="eastAsia" w:ascii="方正小标宋_GBK" w:hAnsi="方正小标宋_GBK" w:eastAsia="方正小标宋_GBK" w:cs="方正小标宋_GBK"/>
          <w:sz w:val="72"/>
          <w:szCs w:val="72"/>
        </w:rPr>
      </w:pPr>
    </w:p>
    <w:p w14:paraId="35B68990">
      <w:pPr>
        <w:pStyle w:val="17"/>
        <w:jc w:val="center"/>
        <w:rPr>
          <w:rFonts w:hint="eastAsia" w:ascii="方正小标宋_GBK" w:hAnsi="方正小标宋_GBK" w:eastAsia="方正小标宋_GBK" w:cs="方正小标宋_GBK"/>
          <w:sz w:val="72"/>
          <w:szCs w:val="72"/>
        </w:rPr>
      </w:pPr>
    </w:p>
    <w:p w14:paraId="07FD584F">
      <w:pPr>
        <w:pStyle w:val="17"/>
        <w:jc w:val="center"/>
        <w:rPr>
          <w:rFonts w:hint="eastAsia" w:ascii="方正小标宋_GBK" w:hAnsi="方正小标宋_GBK" w:eastAsia="方正小标宋_GBK" w:cs="方正小标宋_GBK"/>
          <w:sz w:val="72"/>
          <w:szCs w:val="72"/>
        </w:rPr>
      </w:pPr>
    </w:p>
    <w:p w14:paraId="2834628F">
      <w:pPr>
        <w:pStyle w:val="17"/>
        <w:jc w:val="center"/>
        <w:rPr>
          <w:rFonts w:hint="eastAsia" w:ascii="方正小标宋_GBK" w:hAnsi="方正小标宋_GBK" w:eastAsia="方正小标宋_GBK" w:cs="方正小标宋_GBK"/>
          <w:sz w:val="72"/>
          <w:szCs w:val="72"/>
        </w:rPr>
      </w:pPr>
    </w:p>
    <w:p w14:paraId="49969F0C">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50BDEB10">
      <w:pPr>
        <w:pStyle w:val="17"/>
        <w:jc w:val="center"/>
        <w:rPr>
          <w:rFonts w:hint="eastAsia" w:ascii="方正小标宋_GBK" w:hAnsi="方正小标宋_GBK" w:eastAsia="方正小标宋_GBK" w:cs="方正小标宋_GBK"/>
          <w:sz w:val="72"/>
          <w:szCs w:val="72"/>
          <w:lang w:val="en-US" w:eastAsia="zh-CN"/>
        </w:rPr>
      </w:pPr>
      <w:r>
        <w:rPr>
          <w:rFonts w:hint="eastAsia" w:ascii="方正小标宋_GBK" w:hAnsi="方正小标宋_GBK" w:eastAsia="方正小标宋_GBK" w:cs="方正小标宋_GBK"/>
          <w:sz w:val="72"/>
          <w:szCs w:val="72"/>
          <w:lang w:val="en-US" w:eastAsia="zh-CN"/>
        </w:rPr>
        <w:t xml:space="preserve"> </w:t>
      </w:r>
    </w:p>
    <w:p w14:paraId="1F3F4FE4">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名词解释</w:t>
      </w:r>
    </w:p>
    <w:p w14:paraId="6780F8DC"/>
    <w:p w14:paraId="48801F33">
      <w:pPr>
        <w:pStyle w:val="11"/>
      </w:pPr>
    </w:p>
    <w:p w14:paraId="6A78E39E">
      <w:pPr>
        <w:ind w:firstLine="640" w:firstLineChars="200"/>
        <w:jc w:val="left"/>
        <w:rPr>
          <w:rFonts w:hint="eastAsia" w:ascii="仿宋_GB2312" w:hAnsi="仿宋_GB2312" w:eastAsia="仿宋_GB2312" w:cs="仿宋_GB2312"/>
          <w:color w:val="000000"/>
          <w:kern w:val="0"/>
          <w:sz w:val="32"/>
          <w:szCs w:val="32"/>
        </w:rPr>
      </w:pPr>
    </w:p>
    <w:p w14:paraId="6A49D7FE">
      <w:pPr>
        <w:ind w:firstLine="640" w:firstLineChars="200"/>
        <w:jc w:val="left"/>
        <w:rPr>
          <w:rFonts w:hint="eastAsia" w:ascii="仿宋_GB2312" w:hAnsi="仿宋_GB2312" w:eastAsia="仿宋_GB2312" w:cs="仿宋_GB2312"/>
          <w:color w:val="000000"/>
          <w:kern w:val="0"/>
          <w:sz w:val="32"/>
          <w:szCs w:val="32"/>
        </w:rPr>
      </w:pPr>
    </w:p>
    <w:p w14:paraId="5B1ED1DC">
      <w:pPr>
        <w:ind w:firstLine="640" w:firstLineChars="200"/>
        <w:jc w:val="left"/>
        <w:rPr>
          <w:rFonts w:hint="eastAsia" w:ascii="仿宋_GB2312" w:hAnsi="仿宋_GB2312" w:eastAsia="仿宋_GB2312" w:cs="仿宋_GB2312"/>
          <w:color w:val="000000"/>
          <w:kern w:val="0"/>
          <w:sz w:val="32"/>
          <w:szCs w:val="32"/>
        </w:rPr>
      </w:pPr>
    </w:p>
    <w:p w14:paraId="724EC74F">
      <w:pPr>
        <w:ind w:firstLine="640" w:firstLineChars="200"/>
        <w:jc w:val="left"/>
        <w:rPr>
          <w:rFonts w:hint="eastAsia" w:ascii="仿宋_GB2312" w:hAnsi="仿宋_GB2312" w:eastAsia="仿宋_GB2312" w:cs="仿宋_GB2312"/>
          <w:color w:val="000000"/>
          <w:kern w:val="0"/>
          <w:sz w:val="32"/>
          <w:szCs w:val="32"/>
        </w:rPr>
      </w:pPr>
    </w:p>
    <w:p w14:paraId="60B546BC">
      <w:pPr>
        <w:ind w:firstLine="640" w:firstLineChars="200"/>
        <w:jc w:val="left"/>
        <w:rPr>
          <w:rFonts w:hint="eastAsia" w:ascii="仿宋_GB2312" w:hAnsi="仿宋_GB2312" w:eastAsia="仿宋_GB2312" w:cs="仿宋_GB2312"/>
          <w:color w:val="000000"/>
          <w:kern w:val="0"/>
          <w:sz w:val="32"/>
          <w:szCs w:val="32"/>
        </w:rPr>
      </w:pPr>
    </w:p>
    <w:p w14:paraId="4E6E6972">
      <w:pPr>
        <w:ind w:firstLine="640" w:firstLineChars="200"/>
        <w:jc w:val="left"/>
        <w:rPr>
          <w:rFonts w:hint="eastAsia" w:ascii="仿宋_GB2312" w:hAnsi="仿宋_GB2312" w:eastAsia="仿宋_GB2312" w:cs="仿宋_GB2312"/>
          <w:color w:val="000000"/>
          <w:kern w:val="0"/>
          <w:sz w:val="32"/>
          <w:szCs w:val="32"/>
        </w:rPr>
      </w:pPr>
    </w:p>
    <w:p w14:paraId="7309BB40">
      <w:pPr>
        <w:ind w:firstLine="640" w:firstLineChars="200"/>
        <w:jc w:val="left"/>
        <w:rPr>
          <w:rFonts w:hint="eastAsia" w:ascii="仿宋_GB2312" w:hAnsi="仿宋_GB2312" w:eastAsia="仿宋_GB2312" w:cs="仿宋_GB2312"/>
          <w:color w:val="000000"/>
          <w:kern w:val="0"/>
          <w:sz w:val="32"/>
          <w:szCs w:val="32"/>
        </w:rPr>
      </w:pPr>
    </w:p>
    <w:p w14:paraId="652EB979">
      <w:pPr>
        <w:ind w:firstLine="640" w:firstLineChars="200"/>
        <w:jc w:val="left"/>
        <w:rPr>
          <w:rFonts w:hint="eastAsia" w:ascii="仿宋_GB2312" w:hAnsi="仿宋_GB2312" w:eastAsia="仿宋_GB2312" w:cs="仿宋_GB2312"/>
          <w:color w:val="000000"/>
          <w:kern w:val="0"/>
          <w:sz w:val="32"/>
          <w:szCs w:val="32"/>
        </w:rPr>
      </w:pPr>
    </w:p>
    <w:p w14:paraId="6360EA74">
      <w:pPr>
        <w:ind w:firstLine="640" w:firstLineChars="200"/>
        <w:jc w:val="left"/>
        <w:rPr>
          <w:rFonts w:hint="eastAsia" w:ascii="仿宋_GB2312" w:hAnsi="仿宋_GB2312" w:eastAsia="仿宋_GB2312" w:cs="仿宋_GB2312"/>
          <w:color w:val="000000"/>
          <w:kern w:val="0"/>
          <w:sz w:val="32"/>
          <w:szCs w:val="32"/>
        </w:rPr>
      </w:pPr>
    </w:p>
    <w:p w14:paraId="068C6E34">
      <w:pPr>
        <w:ind w:firstLine="640" w:firstLineChars="200"/>
        <w:jc w:val="left"/>
        <w:rPr>
          <w:rFonts w:hint="eastAsia" w:ascii="仿宋_GB2312" w:hAnsi="仿宋_GB2312" w:eastAsia="仿宋_GB2312" w:cs="仿宋_GB2312"/>
          <w:color w:val="000000"/>
          <w:kern w:val="0"/>
          <w:sz w:val="32"/>
          <w:szCs w:val="32"/>
        </w:rPr>
      </w:pPr>
    </w:p>
    <w:p w14:paraId="35F2458C">
      <w:pPr>
        <w:ind w:firstLine="640" w:firstLineChars="200"/>
        <w:jc w:val="left"/>
        <w:rPr>
          <w:rFonts w:hint="eastAsia" w:ascii="仿宋_GB2312" w:hAnsi="仿宋_GB2312" w:eastAsia="仿宋_GB2312" w:cs="仿宋_GB2312"/>
          <w:color w:val="000000"/>
          <w:kern w:val="0"/>
          <w:sz w:val="32"/>
          <w:szCs w:val="32"/>
        </w:rPr>
      </w:pPr>
    </w:p>
    <w:p w14:paraId="7DEF6148">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4F346D1">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0A53DD36"/>
    <w:p w14:paraId="067CCF7A">
      <w:pPr>
        <w:pStyle w:val="3"/>
      </w:pPr>
    </w:p>
    <w:p w14:paraId="5B836097">
      <w:pPr>
        <w:pStyle w:val="17"/>
        <w:jc w:val="center"/>
        <w:rPr>
          <w:rFonts w:hint="eastAsia" w:ascii="方正小标宋_GBK" w:hAnsi="方正小标宋_GBK" w:eastAsia="方正小标宋_GBK" w:cs="方正小标宋_GBK"/>
          <w:sz w:val="72"/>
          <w:szCs w:val="72"/>
        </w:rPr>
      </w:pPr>
    </w:p>
    <w:p w14:paraId="7F0EEA93">
      <w:pPr>
        <w:pStyle w:val="17"/>
        <w:jc w:val="center"/>
        <w:rPr>
          <w:rFonts w:hint="eastAsia" w:ascii="方正小标宋_GBK" w:hAnsi="方正小标宋_GBK" w:eastAsia="方正小标宋_GBK" w:cs="方正小标宋_GBK"/>
          <w:sz w:val="72"/>
          <w:szCs w:val="72"/>
        </w:rPr>
      </w:pPr>
    </w:p>
    <w:p w14:paraId="1605B6BB">
      <w:pPr>
        <w:pStyle w:val="17"/>
        <w:jc w:val="center"/>
        <w:rPr>
          <w:rFonts w:hint="eastAsia" w:ascii="方正小标宋_GBK" w:hAnsi="方正小标宋_GBK" w:eastAsia="方正小标宋_GBK" w:cs="方正小标宋_GBK"/>
          <w:sz w:val="72"/>
          <w:szCs w:val="72"/>
        </w:rPr>
      </w:pPr>
    </w:p>
    <w:p w14:paraId="43D1DD20">
      <w:pPr>
        <w:pStyle w:val="17"/>
        <w:jc w:val="center"/>
        <w:rPr>
          <w:rFonts w:hint="eastAsia" w:ascii="方正小标宋_GBK" w:hAnsi="方正小标宋_GBK" w:eastAsia="方正小标宋_GBK" w:cs="方正小标宋_GBK"/>
          <w:sz w:val="72"/>
          <w:szCs w:val="72"/>
        </w:rPr>
      </w:pPr>
    </w:p>
    <w:p w14:paraId="4B95613B">
      <w:pPr>
        <w:pStyle w:val="17"/>
        <w:jc w:val="center"/>
        <w:rPr>
          <w:rFonts w:hint="eastAsia" w:ascii="方正小标宋_GBK" w:hAnsi="方正小标宋_GBK" w:eastAsia="方正小标宋_GBK" w:cs="方正小标宋_GBK"/>
          <w:sz w:val="72"/>
          <w:szCs w:val="72"/>
        </w:rPr>
      </w:pPr>
    </w:p>
    <w:p w14:paraId="581AB280">
      <w:pPr>
        <w:pStyle w:val="17"/>
        <w:jc w:val="center"/>
        <w:rPr>
          <w:rFonts w:hint="eastAsia" w:ascii="方正小标宋_GBK" w:hAnsi="方正小标宋_GBK" w:eastAsia="方正小标宋_GBK" w:cs="方正小标宋_GBK"/>
          <w:sz w:val="72"/>
          <w:szCs w:val="72"/>
        </w:rPr>
      </w:pPr>
    </w:p>
    <w:p w14:paraId="78E6A637">
      <w:pPr>
        <w:pStyle w:val="17"/>
        <w:jc w:val="center"/>
        <w:rPr>
          <w:rFonts w:hint="eastAsia" w:ascii="方正小标宋_GBK" w:hAnsi="方正小标宋_GBK" w:eastAsia="方正小标宋_GBK" w:cs="方正小标宋_GBK"/>
          <w:sz w:val="72"/>
          <w:szCs w:val="72"/>
          <w:lang w:val="en-US" w:eastAsia="zh-CN"/>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r>
        <w:rPr>
          <w:rFonts w:hint="eastAsia" w:ascii="方正小标宋_GBK" w:hAnsi="方正小标宋_GBK" w:eastAsia="方正小标宋_GBK" w:cs="方正小标宋_GBK"/>
          <w:sz w:val="72"/>
          <w:szCs w:val="72"/>
          <w:lang w:val="en-US" w:eastAsia="zh-CN"/>
        </w:rPr>
        <w:t xml:space="preserve"> </w:t>
      </w:r>
      <w:bookmarkStart w:id="0" w:name="_GoBack"/>
      <w:bookmarkEnd w:id="0"/>
    </w:p>
    <w:p w14:paraId="5F7E0ED1">
      <w:pPr>
        <w:pStyle w:val="17"/>
        <w:jc w:val="center"/>
        <w:rPr>
          <w:rFonts w:hint="eastAsia" w:ascii="方正小标宋_GBK" w:hAnsi="方正小标宋_GBK" w:eastAsia="方正小标宋_GBK" w:cs="方正小标宋_GBK"/>
          <w:sz w:val="72"/>
          <w:szCs w:val="72"/>
          <w:lang w:val="en-US" w:eastAsia="zh-CN"/>
        </w:rPr>
      </w:pPr>
    </w:p>
    <w:p w14:paraId="0884976A">
      <w:pPr>
        <w:pStyle w:val="17"/>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lang w:eastAsia="zh-CN"/>
        </w:rPr>
        <w:t>附</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lang w:eastAsia="zh-CN"/>
        </w:rPr>
        <w:t>件</w:t>
      </w:r>
    </w:p>
    <w:p w14:paraId="457EB62E">
      <w:pPr>
        <w:ind w:firstLine="640" w:firstLineChars="200"/>
        <w:jc w:val="left"/>
        <w:rPr>
          <w:rFonts w:hint="eastAsia" w:ascii="宋体" w:hAnsi="宋体" w:eastAsia="宋体" w:cs="黑体"/>
          <w:b/>
          <w:color w:val="000000"/>
          <w:kern w:val="0"/>
          <w:sz w:val="32"/>
          <w:szCs w:val="32"/>
          <w:lang w:val="en-US" w:eastAsia="zh-CN"/>
        </w:rPr>
      </w:pPr>
    </w:p>
    <w:p w14:paraId="4E281443">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1、2025年部门决算公开表格</w:t>
      </w:r>
    </w:p>
    <w:p w14:paraId="7C0A8589">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rPr>
        <w:t>202</w:t>
      </w:r>
      <w:r>
        <w:rPr>
          <w:rFonts w:hint="eastAsia" w:ascii="宋体" w:hAnsi="宋体" w:eastAsia="宋体" w:cs="黑体"/>
          <w:b/>
          <w:color w:val="000000"/>
          <w:kern w:val="0"/>
          <w:sz w:val="32"/>
          <w:szCs w:val="32"/>
          <w:lang w:val="en-US" w:eastAsia="zh-CN"/>
        </w:rPr>
        <w:t>5</w:t>
      </w:r>
      <w:r>
        <w:rPr>
          <w:rFonts w:hint="eastAsia" w:ascii="宋体" w:hAnsi="宋体" w:eastAsia="宋体" w:cs="黑体"/>
          <w:b/>
          <w:color w:val="000000"/>
          <w:kern w:val="0"/>
          <w:sz w:val="32"/>
          <w:szCs w:val="32"/>
        </w:rPr>
        <w:t>年度部门整体支出绩效评价报告</w:t>
      </w:r>
    </w:p>
    <w:p w14:paraId="071C3D6D"/>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18030">
    <w:altName w:val="Segoe Print"/>
    <w:panose1 w:val="00000000000000000000"/>
    <w:charset w:val="00"/>
    <w:family w:val="auto"/>
    <w:pitch w:val="default"/>
    <w:sig w:usb0="00000000" w:usb1="00000000" w:usb2="00000000" w:usb3="00000000" w:csb0="00000001" w:csb1="00000000"/>
  </w:font>
  <w:font w:name="URW Bookman">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FangSong_GB2312">
    <w:altName w:val="仿宋_GB2312"/>
    <w:panose1 w:val="02010609030101010101"/>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KSOF557087D0">
    <w:panose1 w:val="02010609060101010101"/>
    <w:charset w:val="86"/>
    <w:family w:val="auto"/>
    <w:pitch w:val="default"/>
    <w:sig w:usb0="00000001"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KSOF8080F95D">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25B6E6"/>
    <w:multiLevelType w:val="singleLevel"/>
    <w:tmpl w:val="0025B6E6"/>
    <w:lvl w:ilvl="0" w:tentative="0">
      <w:start w:val="1"/>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OTBlMjkxOGJkZTY2YWVjYTkxNWZjODEzNjkwZDc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59301C"/>
    <w:rsid w:val="01B91D0C"/>
    <w:rsid w:val="01DD75E6"/>
    <w:rsid w:val="01F176F8"/>
    <w:rsid w:val="02BF15A4"/>
    <w:rsid w:val="04B862AB"/>
    <w:rsid w:val="051C4A8C"/>
    <w:rsid w:val="053C0C8A"/>
    <w:rsid w:val="055A55B4"/>
    <w:rsid w:val="057C19CF"/>
    <w:rsid w:val="059958AD"/>
    <w:rsid w:val="06C857E7"/>
    <w:rsid w:val="07D478A0"/>
    <w:rsid w:val="0834033F"/>
    <w:rsid w:val="083640B7"/>
    <w:rsid w:val="08BA6A96"/>
    <w:rsid w:val="08C24A73"/>
    <w:rsid w:val="097C01EF"/>
    <w:rsid w:val="0A2368BD"/>
    <w:rsid w:val="0A36039E"/>
    <w:rsid w:val="0A51342A"/>
    <w:rsid w:val="0A8455AD"/>
    <w:rsid w:val="0AD16319"/>
    <w:rsid w:val="0BCF0AAA"/>
    <w:rsid w:val="107C0AD5"/>
    <w:rsid w:val="10BD35C7"/>
    <w:rsid w:val="111331E7"/>
    <w:rsid w:val="12583BA5"/>
    <w:rsid w:val="128B14A3"/>
    <w:rsid w:val="129465AA"/>
    <w:rsid w:val="13BA5B9C"/>
    <w:rsid w:val="13FB7F63"/>
    <w:rsid w:val="143516C6"/>
    <w:rsid w:val="14A625C4"/>
    <w:rsid w:val="152A4FA3"/>
    <w:rsid w:val="154C396B"/>
    <w:rsid w:val="158E72E0"/>
    <w:rsid w:val="163F682C"/>
    <w:rsid w:val="17FB7411"/>
    <w:rsid w:val="18136AFE"/>
    <w:rsid w:val="18C9062F"/>
    <w:rsid w:val="195645B9"/>
    <w:rsid w:val="19894BF4"/>
    <w:rsid w:val="1A057D8D"/>
    <w:rsid w:val="1A4A39F2"/>
    <w:rsid w:val="1B4F3E91"/>
    <w:rsid w:val="1C00080C"/>
    <w:rsid w:val="1D350989"/>
    <w:rsid w:val="1D793DB8"/>
    <w:rsid w:val="1D8B2357"/>
    <w:rsid w:val="1D97DEFF"/>
    <w:rsid w:val="1DB93368"/>
    <w:rsid w:val="1DFF72E5"/>
    <w:rsid w:val="1EFC6F07"/>
    <w:rsid w:val="1F0527A6"/>
    <w:rsid w:val="1F3F6307"/>
    <w:rsid w:val="1F4D0006"/>
    <w:rsid w:val="20E64474"/>
    <w:rsid w:val="21787096"/>
    <w:rsid w:val="22177787"/>
    <w:rsid w:val="22AC03C2"/>
    <w:rsid w:val="235A6A54"/>
    <w:rsid w:val="239A1BA6"/>
    <w:rsid w:val="255120D8"/>
    <w:rsid w:val="262275D1"/>
    <w:rsid w:val="26BF1E9B"/>
    <w:rsid w:val="270D0281"/>
    <w:rsid w:val="27B33BC4"/>
    <w:rsid w:val="286E4D4F"/>
    <w:rsid w:val="28926C90"/>
    <w:rsid w:val="290A0F1C"/>
    <w:rsid w:val="2A222295"/>
    <w:rsid w:val="2B2D0EF2"/>
    <w:rsid w:val="2E440A0E"/>
    <w:rsid w:val="2F731670"/>
    <w:rsid w:val="2FAC6889"/>
    <w:rsid w:val="2FC35981"/>
    <w:rsid w:val="2FDF85B8"/>
    <w:rsid w:val="2FFFEE04"/>
    <w:rsid w:val="30823A8E"/>
    <w:rsid w:val="31777E1D"/>
    <w:rsid w:val="31A57A34"/>
    <w:rsid w:val="31C95635"/>
    <w:rsid w:val="31D12F09"/>
    <w:rsid w:val="31D67BED"/>
    <w:rsid w:val="327F0285"/>
    <w:rsid w:val="338E26F1"/>
    <w:rsid w:val="33B757FC"/>
    <w:rsid w:val="34DF85B0"/>
    <w:rsid w:val="377D6D5D"/>
    <w:rsid w:val="37EF7C5B"/>
    <w:rsid w:val="39074B30"/>
    <w:rsid w:val="39DC5FBD"/>
    <w:rsid w:val="3A8D375B"/>
    <w:rsid w:val="3B223EA3"/>
    <w:rsid w:val="3B262E22"/>
    <w:rsid w:val="3B8F36BC"/>
    <w:rsid w:val="3C8A7F52"/>
    <w:rsid w:val="3CA803D8"/>
    <w:rsid w:val="3D187A09"/>
    <w:rsid w:val="3D2C2DB7"/>
    <w:rsid w:val="3DD1395F"/>
    <w:rsid w:val="3DEC3EE6"/>
    <w:rsid w:val="3EA62904"/>
    <w:rsid w:val="3EAE3266"/>
    <w:rsid w:val="3EC6723B"/>
    <w:rsid w:val="3EDE7FF0"/>
    <w:rsid w:val="3FCF8F90"/>
    <w:rsid w:val="40385F17"/>
    <w:rsid w:val="40F956A6"/>
    <w:rsid w:val="41235825"/>
    <w:rsid w:val="422B7AE1"/>
    <w:rsid w:val="427775F2"/>
    <w:rsid w:val="42AB29D0"/>
    <w:rsid w:val="43505326"/>
    <w:rsid w:val="43FA3C0F"/>
    <w:rsid w:val="441D78FE"/>
    <w:rsid w:val="442962A2"/>
    <w:rsid w:val="44AD23A9"/>
    <w:rsid w:val="45AA6F6F"/>
    <w:rsid w:val="48335942"/>
    <w:rsid w:val="490948F4"/>
    <w:rsid w:val="491FF225"/>
    <w:rsid w:val="4ACE3700"/>
    <w:rsid w:val="4AD8457E"/>
    <w:rsid w:val="4B9D30D2"/>
    <w:rsid w:val="4C237A7B"/>
    <w:rsid w:val="4C667968"/>
    <w:rsid w:val="4CFA4C80"/>
    <w:rsid w:val="4D3BD8C5"/>
    <w:rsid w:val="4D602609"/>
    <w:rsid w:val="4D811490"/>
    <w:rsid w:val="4D9E1AAF"/>
    <w:rsid w:val="4EB64BD7"/>
    <w:rsid w:val="4F2F6737"/>
    <w:rsid w:val="4FFD214C"/>
    <w:rsid w:val="530A189D"/>
    <w:rsid w:val="5311687F"/>
    <w:rsid w:val="5352765A"/>
    <w:rsid w:val="537B63EF"/>
    <w:rsid w:val="53F1045F"/>
    <w:rsid w:val="54493DF7"/>
    <w:rsid w:val="55DE2790"/>
    <w:rsid w:val="5777D4F5"/>
    <w:rsid w:val="57DB4303"/>
    <w:rsid w:val="583D5F38"/>
    <w:rsid w:val="59D15132"/>
    <w:rsid w:val="59DD8326"/>
    <w:rsid w:val="5AC4067B"/>
    <w:rsid w:val="5B24736C"/>
    <w:rsid w:val="5BA02E96"/>
    <w:rsid w:val="5BA81D4B"/>
    <w:rsid w:val="5C1C635A"/>
    <w:rsid w:val="5D136571"/>
    <w:rsid w:val="5DEF592A"/>
    <w:rsid w:val="5E9E1578"/>
    <w:rsid w:val="5EAB1D7E"/>
    <w:rsid w:val="5F5024DD"/>
    <w:rsid w:val="5F8F167A"/>
    <w:rsid w:val="5F9B1FEC"/>
    <w:rsid w:val="5FC6BB1E"/>
    <w:rsid w:val="5FF720F1"/>
    <w:rsid w:val="613C71BD"/>
    <w:rsid w:val="61A94127"/>
    <w:rsid w:val="61C52C5F"/>
    <w:rsid w:val="62337AA2"/>
    <w:rsid w:val="63425CDB"/>
    <w:rsid w:val="63780255"/>
    <w:rsid w:val="639F1C85"/>
    <w:rsid w:val="63B23767"/>
    <w:rsid w:val="657F3B1C"/>
    <w:rsid w:val="66091638"/>
    <w:rsid w:val="67FF5C0B"/>
    <w:rsid w:val="680C5410"/>
    <w:rsid w:val="681F15E7"/>
    <w:rsid w:val="69BBD5A7"/>
    <w:rsid w:val="6A0B1E23"/>
    <w:rsid w:val="6A462E5B"/>
    <w:rsid w:val="6A9C6F1F"/>
    <w:rsid w:val="6BAA4A2F"/>
    <w:rsid w:val="6BFFF014"/>
    <w:rsid w:val="6C47110C"/>
    <w:rsid w:val="6CADCBEC"/>
    <w:rsid w:val="6D0D7C60"/>
    <w:rsid w:val="6D543AE1"/>
    <w:rsid w:val="6E5A5127"/>
    <w:rsid w:val="6EBC193D"/>
    <w:rsid w:val="6EFC0924"/>
    <w:rsid w:val="6FAA79E8"/>
    <w:rsid w:val="6FB74722"/>
    <w:rsid w:val="6FC9CA8E"/>
    <w:rsid w:val="6FEF8B7E"/>
    <w:rsid w:val="711A0B9D"/>
    <w:rsid w:val="71970440"/>
    <w:rsid w:val="71A6591B"/>
    <w:rsid w:val="72361A07"/>
    <w:rsid w:val="729B7ABC"/>
    <w:rsid w:val="72F13B80"/>
    <w:rsid w:val="73774085"/>
    <w:rsid w:val="737D59BA"/>
    <w:rsid w:val="737F32B1"/>
    <w:rsid w:val="739E5AB6"/>
    <w:rsid w:val="742D0BE7"/>
    <w:rsid w:val="74B03CF2"/>
    <w:rsid w:val="75994786"/>
    <w:rsid w:val="759C6025"/>
    <w:rsid w:val="75DA08FB"/>
    <w:rsid w:val="769F83E4"/>
    <w:rsid w:val="777697D4"/>
    <w:rsid w:val="77C37683"/>
    <w:rsid w:val="77CD9F79"/>
    <w:rsid w:val="77D24288"/>
    <w:rsid w:val="78CC4E73"/>
    <w:rsid w:val="7936EFA6"/>
    <w:rsid w:val="79BC6C95"/>
    <w:rsid w:val="79F471B5"/>
    <w:rsid w:val="79FA77BE"/>
    <w:rsid w:val="79FF515B"/>
    <w:rsid w:val="7A1E525A"/>
    <w:rsid w:val="7A5275FA"/>
    <w:rsid w:val="7B450F0D"/>
    <w:rsid w:val="7B6C6499"/>
    <w:rsid w:val="7C1C1C6D"/>
    <w:rsid w:val="7C4F7213"/>
    <w:rsid w:val="7CD662C0"/>
    <w:rsid w:val="7E6E72C1"/>
    <w:rsid w:val="7E9E1962"/>
    <w:rsid w:val="7E9F11B4"/>
    <w:rsid w:val="7EFB3612"/>
    <w:rsid w:val="7F2C21C7"/>
    <w:rsid w:val="7F37EC1E"/>
    <w:rsid w:val="7F4D0390"/>
    <w:rsid w:val="7F7DCD9D"/>
    <w:rsid w:val="7F970A6F"/>
    <w:rsid w:val="7FC1FFF3"/>
    <w:rsid w:val="7FC69637"/>
    <w:rsid w:val="7FD05249"/>
    <w:rsid w:val="7FD763C6"/>
    <w:rsid w:val="7FDF8620"/>
    <w:rsid w:val="7FF24E19"/>
    <w:rsid w:val="7FF2EF9F"/>
    <w:rsid w:val="7FFB242F"/>
    <w:rsid w:val="7FFDB408"/>
    <w:rsid w:val="7FFE4EEB"/>
    <w:rsid w:val="8DBE235F"/>
    <w:rsid w:val="95FB2B98"/>
    <w:rsid w:val="9A639BC2"/>
    <w:rsid w:val="9FF7D786"/>
    <w:rsid w:val="9FFD49C6"/>
    <w:rsid w:val="ABBFB23D"/>
    <w:rsid w:val="AFCBA252"/>
    <w:rsid w:val="B77DC02D"/>
    <w:rsid w:val="BB7FAEFB"/>
    <w:rsid w:val="BDBEFD5C"/>
    <w:rsid w:val="BE37B76E"/>
    <w:rsid w:val="BECB242F"/>
    <w:rsid w:val="BFABFA18"/>
    <w:rsid w:val="BFEE9FF8"/>
    <w:rsid w:val="C3B4DA5A"/>
    <w:rsid w:val="C947AA34"/>
    <w:rsid w:val="CBFF70E0"/>
    <w:rsid w:val="CF6F1A65"/>
    <w:rsid w:val="CFF50B82"/>
    <w:rsid w:val="CFFFAD89"/>
    <w:rsid w:val="D1BEBE24"/>
    <w:rsid w:val="DBFFD187"/>
    <w:rsid w:val="DFF9047A"/>
    <w:rsid w:val="DFFA0D78"/>
    <w:rsid w:val="DFFE359E"/>
    <w:rsid w:val="DFFE4FFD"/>
    <w:rsid w:val="DFFFB973"/>
    <w:rsid w:val="E5F847FB"/>
    <w:rsid w:val="EABEF557"/>
    <w:rsid w:val="EEABED75"/>
    <w:rsid w:val="F56FDF51"/>
    <w:rsid w:val="F6B69F17"/>
    <w:rsid w:val="F77F1D61"/>
    <w:rsid w:val="F7FED3A9"/>
    <w:rsid w:val="F8C9DB26"/>
    <w:rsid w:val="F93CB1E5"/>
    <w:rsid w:val="F97E8EAE"/>
    <w:rsid w:val="F97FC9BF"/>
    <w:rsid w:val="FA3F835A"/>
    <w:rsid w:val="FB36E1A6"/>
    <w:rsid w:val="FB3BE134"/>
    <w:rsid w:val="FCFBEAD6"/>
    <w:rsid w:val="FCFF4275"/>
    <w:rsid w:val="FD7974CC"/>
    <w:rsid w:val="FD7FEEEA"/>
    <w:rsid w:val="FDB6BAAA"/>
    <w:rsid w:val="FDDD80D7"/>
    <w:rsid w:val="FDF5224E"/>
    <w:rsid w:val="FDFFB577"/>
    <w:rsid w:val="FE8EA34F"/>
    <w:rsid w:val="FEEA50FE"/>
    <w:rsid w:val="FF2EC2C8"/>
    <w:rsid w:val="FF6F899C"/>
    <w:rsid w:val="FF7D47A9"/>
    <w:rsid w:val="FFBEF60E"/>
    <w:rsid w:val="FFCF21CB"/>
    <w:rsid w:val="FFEB3543"/>
    <w:rsid w:val="FFF38EB1"/>
    <w:rsid w:val="FFFBBB92"/>
    <w:rsid w:val="FFFF1C8B"/>
    <w:rsid w:val="FFFFAA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unhideWhenUsed/>
    <w:qFormat/>
    <w:uiPriority w:val="99"/>
    <w:pPr>
      <w:spacing w:before="120" w:after="200" w:line="276" w:lineRule="auto"/>
    </w:pPr>
    <w:rPr>
      <w:rFonts w:hint="default"/>
      <w:sz w:val="24"/>
      <w:szCs w:val="24"/>
    </w:rPr>
  </w:style>
  <w:style w:type="paragraph" w:styleId="3">
    <w:name w:val="Body Text"/>
    <w:basedOn w:val="1"/>
    <w:next w:val="4"/>
    <w:semiHidden/>
    <w:qFormat/>
    <w:uiPriority w:val="0"/>
    <w:rPr>
      <w:rFonts w:ascii="仿宋" w:hAnsi="仿宋" w:eastAsia="仿宋" w:cs="仿宋"/>
      <w:sz w:val="31"/>
      <w:szCs w:val="31"/>
      <w:lang w:val="en-US" w:eastAsia="en-US" w:bidi="ar-SA"/>
    </w:rPr>
  </w:style>
  <w:style w:type="paragraph" w:customStyle="1" w:styleId="4">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18030" w:hAnsi="???-18030" w:cs="???-18030"/>
      <w:kern w:val="0"/>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toc 5"/>
    <w:basedOn w:val="1"/>
    <w:next w:val="1"/>
    <w:qFormat/>
    <w:uiPriority w:val="0"/>
    <w:pPr>
      <w:ind w:left="1680" w:leftChars="800"/>
    </w:pPr>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6"/>
    <w:semiHidden/>
    <w:qFormat/>
    <w:uiPriority w:val="0"/>
    <w:pPr>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5">
    <w:name w:val="页眉 Char"/>
    <w:basedOn w:val="14"/>
    <w:link w:val="10"/>
    <w:qFormat/>
    <w:uiPriority w:val="99"/>
    <w:rPr>
      <w:sz w:val="18"/>
      <w:szCs w:val="18"/>
    </w:rPr>
  </w:style>
  <w:style w:type="character" w:customStyle="1" w:styleId="16">
    <w:name w:val="页脚 Char"/>
    <w:basedOn w:val="14"/>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8"/>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6210</Words>
  <Characters>6694</Characters>
  <Lines>63</Lines>
  <Paragraphs>18</Paragraphs>
  <TotalTime>0</TotalTime>
  <ScaleCrop>false</ScaleCrop>
  <LinksUpToDate>false</LinksUpToDate>
  <CharactersWithSpaces>6751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2020-07-12T18:32:00Z</dcterms:created>
  <dc:creator>李航 null</dc:creator>
  <cp:lastModifiedBy>YY</cp:lastModifiedBy>
  <cp:lastPrinted>2024-08-13T02:20:00Z</cp:lastPrinted>
  <dcterms:modified xsi:type="dcterms:W3CDTF">2026-10-09T03:03:12Z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