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0BDF0F">
      <w:pPr>
        <w:pStyle w:val="14"/>
        <w:jc w:val="center"/>
        <w:rPr>
          <w:sz w:val="56"/>
          <w:szCs w:val="56"/>
        </w:rPr>
      </w:pPr>
    </w:p>
    <w:p w14:paraId="40004F1E">
      <w:pPr>
        <w:pStyle w:val="14"/>
        <w:jc w:val="center"/>
        <w:rPr>
          <w:sz w:val="56"/>
          <w:szCs w:val="56"/>
        </w:rPr>
      </w:pPr>
    </w:p>
    <w:p w14:paraId="00DFDEE1">
      <w:pPr>
        <w:pStyle w:val="14"/>
        <w:jc w:val="center"/>
        <w:rPr>
          <w:sz w:val="84"/>
          <w:szCs w:val="84"/>
        </w:rPr>
      </w:pPr>
    </w:p>
    <w:p w14:paraId="3BB392FF">
      <w:pPr>
        <w:pStyle w:val="14"/>
        <w:jc w:val="center"/>
        <w:rPr>
          <w:sz w:val="84"/>
          <w:szCs w:val="84"/>
        </w:rPr>
      </w:pPr>
    </w:p>
    <w:p w14:paraId="6957A466">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14:paraId="141A4228">
      <w:pPr>
        <w:pStyle w:val="14"/>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岳阳市城市照明管理中心</w:t>
      </w:r>
    </w:p>
    <w:p w14:paraId="1B4A3184">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14:paraId="63C58ADE">
      <w:pPr>
        <w:pStyle w:val="14"/>
        <w:jc w:val="center"/>
        <w:rPr>
          <w:rFonts w:hint="eastAsia" w:ascii="方正小标宋_GBK" w:hAnsi="方正小标宋_GBK" w:eastAsia="方正小标宋_GBK" w:cs="方正小标宋_GBK"/>
          <w:sz w:val="56"/>
          <w:szCs w:val="56"/>
        </w:rPr>
      </w:pPr>
    </w:p>
    <w:p w14:paraId="14263E2E">
      <w:pPr>
        <w:pStyle w:val="14"/>
        <w:jc w:val="center"/>
        <w:rPr>
          <w:sz w:val="56"/>
          <w:szCs w:val="56"/>
        </w:rPr>
      </w:pPr>
    </w:p>
    <w:p w14:paraId="7837CC42">
      <w:pPr>
        <w:pStyle w:val="14"/>
        <w:jc w:val="center"/>
        <w:rPr>
          <w:sz w:val="56"/>
          <w:szCs w:val="56"/>
        </w:rPr>
      </w:pPr>
    </w:p>
    <w:p w14:paraId="5DDBD993">
      <w:pPr>
        <w:pStyle w:val="14"/>
        <w:jc w:val="center"/>
        <w:rPr>
          <w:sz w:val="56"/>
          <w:szCs w:val="56"/>
        </w:rPr>
      </w:pPr>
    </w:p>
    <w:p w14:paraId="0BCF907B">
      <w:pPr>
        <w:pStyle w:val="14"/>
        <w:jc w:val="center"/>
        <w:rPr>
          <w:sz w:val="32"/>
          <w:szCs w:val="32"/>
        </w:rPr>
      </w:pPr>
    </w:p>
    <w:p w14:paraId="67E76F9B">
      <w:pPr>
        <w:pStyle w:val="14"/>
        <w:jc w:val="both"/>
        <w:rPr>
          <w:sz w:val="32"/>
          <w:szCs w:val="32"/>
        </w:rPr>
      </w:pPr>
    </w:p>
    <w:p w14:paraId="23C4590C">
      <w:pPr>
        <w:pStyle w:val="14"/>
        <w:spacing w:line="540" w:lineRule="exact"/>
        <w:jc w:val="center"/>
        <w:rPr>
          <w:sz w:val="56"/>
          <w:szCs w:val="56"/>
        </w:rPr>
      </w:pPr>
    </w:p>
    <w:p w14:paraId="0271F6C7">
      <w:pPr>
        <w:pStyle w:val="14"/>
        <w:spacing w:line="500" w:lineRule="exact"/>
        <w:jc w:val="both"/>
        <w:rPr>
          <w:b/>
          <w:sz w:val="36"/>
          <w:szCs w:val="28"/>
        </w:rPr>
      </w:pPr>
    </w:p>
    <w:p w14:paraId="39C89401">
      <w:pPr>
        <w:pStyle w:val="14"/>
        <w:spacing w:line="500" w:lineRule="exact"/>
        <w:jc w:val="center"/>
        <w:rPr>
          <w:b/>
          <w:sz w:val="36"/>
          <w:szCs w:val="28"/>
        </w:rPr>
      </w:pPr>
      <w:r>
        <w:rPr>
          <w:rFonts w:hint="eastAsia"/>
          <w:b/>
          <w:sz w:val="36"/>
          <w:szCs w:val="28"/>
        </w:rPr>
        <w:t>目录</w:t>
      </w:r>
    </w:p>
    <w:p w14:paraId="4C7B05F7">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岳阳市城市照明管理中心概况</w:t>
      </w:r>
    </w:p>
    <w:p w14:paraId="778F60ED">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3CAA33CD">
      <w:pPr>
        <w:pStyle w:val="14"/>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3DAF8DAF">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71C66FF2">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53D136AD">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7D487BB7">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498ED2E4">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16F5D368">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7C30500F">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5BED8879">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43F051E4">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1AF8D3CB">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79E71F72">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0CFF53D8">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46E2F3FD">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16F82B8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3B146240">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3BF5C9F2">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0B837D0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44B0422A">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14:paraId="5A4D70FF">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14:paraId="2635348F">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14:paraId="3B9C8D89">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55D0789C">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5216D8D2">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2AD2F262">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14:paraId="09DF7C57">
      <w:pPr>
        <w:pStyle w:val="14"/>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14:paraId="2D48DBF0">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0EA54CA9">
      <w:pPr>
        <w:pStyle w:val="14"/>
        <w:spacing w:line="500" w:lineRule="exact"/>
        <w:rPr>
          <w:rFonts w:hint="eastAsia" w:ascii="方正小标宋_GBK" w:hAnsi="方正小标宋_GBK" w:eastAsia="方正小标宋_GBK" w:cs="方正小标宋_GBK"/>
          <w:sz w:val="84"/>
          <w:szCs w:val="84"/>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087CE9C3">
      <w:pPr>
        <w:pStyle w:val="14"/>
        <w:jc w:val="center"/>
        <w:rPr>
          <w:rFonts w:hint="eastAsia" w:ascii="方正小标宋_GBK" w:hAnsi="方正小标宋_GBK" w:eastAsia="方正小标宋_GBK" w:cs="方正小标宋_GBK"/>
          <w:sz w:val="84"/>
          <w:szCs w:val="84"/>
        </w:rPr>
      </w:pPr>
    </w:p>
    <w:p w14:paraId="24FAA41F">
      <w:pPr>
        <w:pStyle w:val="14"/>
        <w:jc w:val="center"/>
        <w:rPr>
          <w:rFonts w:hint="eastAsia" w:ascii="方正小标宋_GBK" w:hAnsi="方正小标宋_GBK" w:eastAsia="方正小标宋_GBK" w:cs="方正小标宋_GBK"/>
          <w:sz w:val="84"/>
          <w:szCs w:val="84"/>
        </w:rPr>
      </w:pPr>
    </w:p>
    <w:p w14:paraId="548506AD">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744D0292">
      <w:pPr>
        <w:pStyle w:val="14"/>
        <w:jc w:val="center"/>
        <w:rPr>
          <w:rFonts w:hint="eastAsia" w:ascii="方正小标宋_GBK" w:hAnsi="方正小标宋_GBK" w:eastAsia="方正小标宋_GBK" w:cs="方正小标宋_GBK"/>
          <w:sz w:val="84"/>
          <w:szCs w:val="84"/>
        </w:rPr>
      </w:pPr>
    </w:p>
    <w:p w14:paraId="09C26A17">
      <w:pPr>
        <w:pStyle w:val="14"/>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lang w:eastAsia="zh-CN"/>
        </w:rPr>
        <w:t>岳阳市城市照明管理中心</w:t>
      </w:r>
    </w:p>
    <w:p w14:paraId="6CA4E6C5">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概况</w:t>
      </w:r>
    </w:p>
    <w:p w14:paraId="473BC30F">
      <w:pPr>
        <w:pStyle w:val="2"/>
        <w:rPr>
          <w:rFonts w:hint="eastAsia" w:ascii="方正小标宋_GBK" w:hAnsi="方正小标宋_GBK" w:eastAsia="方正小标宋_GBK" w:cs="方正小标宋_GBK"/>
          <w:sz w:val="84"/>
          <w:szCs w:val="84"/>
        </w:rPr>
      </w:pPr>
    </w:p>
    <w:p w14:paraId="17EC0360">
      <w:pPr>
        <w:pStyle w:val="3"/>
        <w:rPr>
          <w:rFonts w:hint="eastAsia" w:ascii="方正小标宋_GBK" w:hAnsi="方正小标宋_GBK" w:eastAsia="方正小标宋_GBK" w:cs="方正小标宋_GBK"/>
          <w:sz w:val="84"/>
          <w:szCs w:val="84"/>
        </w:rPr>
      </w:pPr>
    </w:p>
    <w:p w14:paraId="2A82F19F">
      <w:pPr>
        <w:rPr>
          <w:rFonts w:hint="eastAsia" w:ascii="方正小标宋_GBK" w:hAnsi="方正小标宋_GBK" w:eastAsia="方正小标宋_GBK" w:cs="方正小标宋_GBK"/>
          <w:sz w:val="84"/>
          <w:szCs w:val="84"/>
        </w:rPr>
      </w:pPr>
    </w:p>
    <w:p w14:paraId="05524E92">
      <w:pPr>
        <w:pStyle w:val="2"/>
        <w:rPr>
          <w:rFonts w:hint="eastAsia" w:ascii="方正小标宋_GBK" w:hAnsi="方正小标宋_GBK" w:eastAsia="方正小标宋_GBK" w:cs="方正小标宋_GBK"/>
          <w:sz w:val="84"/>
          <w:szCs w:val="84"/>
        </w:rPr>
      </w:pPr>
    </w:p>
    <w:p w14:paraId="1C36A98E">
      <w:pPr>
        <w:pStyle w:val="15"/>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09266D56">
      <w:pPr>
        <w:numPr>
          <w:ilvl w:val="0"/>
          <w:numId w:val="0"/>
        </w:numPr>
        <w:ind w:leftChars="304"/>
        <w:jc w:val="left"/>
        <w:rPr>
          <w:rFonts w:hint="eastAsia" w:ascii="CESI仿宋-GB2312" w:hAnsi="CESI仿宋-GB2312" w:eastAsia="CESI仿宋-GB2312" w:cs="CESI仿宋-GB2312"/>
          <w:sz w:val="32"/>
        </w:rPr>
      </w:pPr>
      <w:r>
        <w:rPr>
          <w:rFonts w:hint="eastAsia" w:ascii="Times New Roman" w:hAnsi="Times New Roman" w:eastAsia="仿宋_GB2312" w:cs="仿宋_GB2312"/>
          <w:sz w:val="32"/>
          <w:szCs w:val="32"/>
        </w:rPr>
        <w:t>（一）</w:t>
      </w:r>
      <w:r>
        <w:rPr>
          <w:rFonts w:hint="eastAsia" w:ascii="CESI仿宋-GB2312" w:hAnsi="CESI仿宋-GB2312" w:eastAsia="CESI仿宋-GB2312" w:cs="CESI仿宋-GB2312"/>
          <w:sz w:val="32"/>
        </w:rPr>
        <w:t>承担城市道路照明及景观亮化设施设备的日常维护管理工作；</w:t>
      </w:r>
      <w:r>
        <w:rPr>
          <w:rFonts w:hint="eastAsia" w:ascii="CESI仿宋-GB2312" w:hAnsi="CESI仿宋-GB2312" w:eastAsia="CESI仿宋-GB2312" w:cs="CESI仿宋-GB2312"/>
          <w:sz w:val="32"/>
          <w:szCs w:val="32"/>
        </w:rPr>
        <w:t>（二）</w:t>
      </w:r>
      <w:r>
        <w:rPr>
          <w:rFonts w:hint="eastAsia" w:ascii="CESI仿宋-GB2312" w:hAnsi="CESI仿宋-GB2312" w:eastAsia="CESI仿宋-GB2312" w:cs="CESI仿宋-GB2312"/>
          <w:sz w:val="32"/>
        </w:rPr>
        <w:t>承担城市道路照明及景观亮化工程的建设工作；</w:t>
      </w:r>
    </w:p>
    <w:p w14:paraId="7F8500CA">
      <w:pPr>
        <w:ind w:firstLine="640" w:firstLineChars="200"/>
        <w:jc w:val="left"/>
        <w:rPr>
          <w:rFonts w:hint="eastAsia" w:ascii="Times New Roman" w:hAnsi="Times New Roman" w:eastAsia="仿宋_GB2312" w:cs="仿宋_GB2312"/>
          <w:sz w:val="32"/>
          <w:szCs w:val="32"/>
        </w:rPr>
      </w:pPr>
      <w:r>
        <w:rPr>
          <w:rFonts w:hint="eastAsia" w:ascii="CESI仿宋-GB2312" w:hAnsi="CESI仿宋-GB2312" w:eastAsia="CESI仿宋-GB2312" w:cs="CESI仿宋-GB2312"/>
          <w:sz w:val="32"/>
          <w:lang w:eastAsia="zh-CN"/>
        </w:rPr>
        <w:t>（三）</w:t>
      </w:r>
      <w:r>
        <w:rPr>
          <w:rFonts w:hint="eastAsia" w:ascii="CESI仿宋-GB2312" w:hAnsi="CESI仿宋-GB2312" w:eastAsia="CESI仿宋-GB2312" w:cs="CESI仿宋-GB2312"/>
          <w:sz w:val="32"/>
        </w:rPr>
        <w:t>承担社会产权单位（个人）景观亮化建设工程的技术服务工作。</w:t>
      </w:r>
    </w:p>
    <w:p w14:paraId="516CAA3A">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203AF6AD">
      <w:pPr>
        <w:pStyle w:val="5"/>
        <w:keepNext w:val="0"/>
        <w:keepLines w:val="0"/>
        <w:pageBreakBefore w:val="0"/>
        <w:widowControl w:val="0"/>
        <w:numPr>
          <w:ilvl w:val="0"/>
          <w:numId w:val="0"/>
        </w:numPr>
        <w:wordWrap/>
        <w:overflowPunct/>
        <w:topLinePunct w:val="0"/>
        <w:bidi w:val="0"/>
        <w:spacing w:line="580" w:lineRule="exact"/>
        <w:ind w:firstLine="640" w:firstLineChars="200"/>
        <w:jc w:val="left"/>
        <w:rPr>
          <w:rFonts w:hint="eastAsia" w:ascii="CESI仿宋-GB2312" w:hAnsi="CESI仿宋-GB2312" w:eastAsia="CESI仿宋-GB2312" w:cs="CESI仿宋-GB2312"/>
          <w:lang w:eastAsia="zh-CN"/>
        </w:rPr>
      </w:pPr>
      <w:r>
        <w:rPr>
          <w:rFonts w:hint="eastAsia" w:ascii="Times New Roman" w:hAnsi="Times New Roman" w:eastAsia="仿宋_GB2312" w:cs="仿宋_GB2312"/>
          <w:bCs/>
          <w:kern w:val="0"/>
          <w:sz w:val="32"/>
          <w:szCs w:val="32"/>
        </w:rPr>
        <w:t>（一）内设机构设置。</w:t>
      </w:r>
      <w:r>
        <w:rPr>
          <w:rFonts w:hint="eastAsia" w:ascii="CESI仿宋-GB2312" w:hAnsi="CESI仿宋-GB2312" w:eastAsia="CESI仿宋-GB2312" w:cs="CESI仿宋-GB2312"/>
          <w:bCs/>
          <w:kern w:val="0"/>
          <w:sz w:val="32"/>
          <w:szCs w:val="32"/>
          <w:lang w:eastAsia="zh-CN"/>
        </w:rPr>
        <w:t>岳阳市城市照明管理中心</w:t>
      </w:r>
      <w:r>
        <w:rPr>
          <w:rFonts w:hint="eastAsia" w:ascii="CESI仿宋-GB2312" w:hAnsi="CESI仿宋-GB2312" w:eastAsia="CESI仿宋-GB2312" w:cs="CESI仿宋-GB2312"/>
          <w:bCs/>
          <w:kern w:val="0"/>
          <w:sz w:val="32"/>
          <w:szCs w:val="32"/>
        </w:rPr>
        <w:t>内设机构包括：</w:t>
      </w:r>
      <w:r>
        <w:rPr>
          <w:rFonts w:hint="eastAsia" w:ascii="仿宋_GB2312" w:hAnsi="仿宋_GB2312" w:eastAsia="仿宋_GB2312" w:cs="仿宋_GB2312"/>
          <w:sz w:val="32"/>
          <w:szCs w:val="32"/>
          <w:lang w:eastAsia="zh-CN"/>
        </w:rPr>
        <w:t>综合部、财务部、运行管理部、景观亮化维护部、技术服务部、信息考</w:t>
      </w:r>
      <w:r>
        <w:rPr>
          <w:rFonts w:hint="eastAsia" w:ascii="仿宋" w:hAnsi="仿宋" w:eastAsia="仿宋"/>
          <w:sz w:val="32"/>
          <w:szCs w:val="32"/>
          <w:lang w:eastAsia="zh-CN"/>
        </w:rPr>
        <w:t>评部</w:t>
      </w:r>
      <w:r>
        <w:rPr>
          <w:rFonts w:hint="eastAsia"/>
          <w:sz w:val="32"/>
          <w:szCs w:val="32"/>
          <w:lang w:eastAsia="zh-CN"/>
        </w:rPr>
        <w:t>、安全管理部、路灯维护一部、路灯维护二部九</w:t>
      </w:r>
      <w:r>
        <w:rPr>
          <w:rFonts w:hint="eastAsia" w:ascii="CESI仿宋-GB2312" w:hAnsi="CESI仿宋-GB2312" w:eastAsia="CESI仿宋-GB2312" w:cs="CESI仿宋-GB2312"/>
          <w:sz w:val="32"/>
          <w:lang w:eastAsia="zh-CN"/>
        </w:rPr>
        <w:t>个职能部室</w:t>
      </w:r>
      <w:r>
        <w:rPr>
          <w:rFonts w:hint="eastAsia"/>
          <w:sz w:val="32"/>
          <w:szCs w:val="32"/>
          <w:lang w:eastAsia="zh-CN"/>
        </w:rPr>
        <w:t>。</w:t>
      </w:r>
    </w:p>
    <w:p w14:paraId="4B72E60A">
      <w:pPr>
        <w:ind w:firstLine="640" w:firstLineChars="200"/>
        <w:jc w:val="left"/>
        <w:rPr>
          <w:rFonts w:hint="eastAsia" w:ascii="CESI仿宋-GB2312" w:hAnsi="CESI仿宋-GB2312" w:eastAsia="CESI仿宋-GB2312" w:cs="CESI仿宋-GB2312"/>
          <w:bCs/>
          <w:color w:val="auto"/>
          <w:kern w:val="0"/>
          <w:sz w:val="32"/>
          <w:szCs w:val="32"/>
          <w:lang w:eastAsia="zh-CN"/>
        </w:rPr>
      </w:pPr>
      <w:r>
        <w:rPr>
          <w:rFonts w:hint="eastAsia" w:ascii="Times New Roman" w:hAnsi="Times New Roman" w:eastAsia="仿宋_GB2312" w:cs="仿宋_GB2312"/>
          <w:bCs/>
          <w:kern w:val="0"/>
          <w:sz w:val="32"/>
          <w:szCs w:val="32"/>
        </w:rPr>
        <w:t>（二）决算单位构成。</w:t>
      </w:r>
      <w:r>
        <w:rPr>
          <w:rFonts w:hint="eastAsia" w:ascii="CESI仿宋-GB2312" w:hAnsi="CESI仿宋-GB2312" w:eastAsia="CESI仿宋-GB2312" w:cs="CESI仿宋-GB2312"/>
          <w:i w:val="0"/>
          <w:iCs w:val="0"/>
          <w:color w:val="auto"/>
          <w:sz w:val="32"/>
          <w:szCs w:val="32"/>
          <w:highlight w:val="white"/>
          <w:lang w:eastAsia="zh-CN"/>
        </w:rPr>
        <w:t>本单位无独立核算的下属单位，</w:t>
      </w:r>
      <w:r>
        <w:rPr>
          <w:rFonts w:hint="eastAsia" w:ascii="CESI仿宋-GB2312" w:hAnsi="CESI仿宋-GB2312" w:eastAsia="CESI仿宋-GB2312" w:cs="CESI仿宋-GB2312"/>
          <w:i w:val="0"/>
          <w:iCs w:val="0"/>
          <w:color w:val="auto"/>
          <w:sz w:val="32"/>
          <w:szCs w:val="32"/>
          <w:highlight w:val="white"/>
          <w:lang w:val="en-US" w:eastAsia="zh-CN"/>
        </w:rPr>
        <w:t>2025年度部门决算汇总公开单位仅包括</w:t>
      </w:r>
      <w:r>
        <w:rPr>
          <w:rFonts w:hint="eastAsia" w:ascii="CESI仿宋-GB2312" w:hAnsi="CESI仿宋-GB2312" w:eastAsia="CESI仿宋-GB2312" w:cs="CESI仿宋-GB2312"/>
          <w:bCs/>
          <w:color w:val="auto"/>
          <w:kern w:val="0"/>
          <w:sz w:val="32"/>
          <w:szCs w:val="32"/>
          <w:lang w:eastAsia="zh-CN"/>
        </w:rPr>
        <w:t>岳阳市城市照明管理中心</w:t>
      </w:r>
      <w:r>
        <w:rPr>
          <w:rFonts w:hint="eastAsia" w:ascii="CESI仿宋-GB2312" w:hAnsi="CESI仿宋-GB2312" w:eastAsia="CESI仿宋-GB2312" w:cs="CESI仿宋-GB2312"/>
          <w:i w:val="0"/>
          <w:iCs w:val="0"/>
          <w:color w:val="auto"/>
          <w:sz w:val="32"/>
          <w:szCs w:val="32"/>
          <w:highlight w:val="white"/>
          <w:lang w:val="en-US" w:eastAsia="zh-CN"/>
        </w:rPr>
        <w:t>本级</w:t>
      </w:r>
      <w:r>
        <w:rPr>
          <w:rFonts w:hint="eastAsia" w:ascii="CESI仿宋-GB2312" w:hAnsi="CESI仿宋-GB2312" w:eastAsia="CESI仿宋-GB2312" w:cs="CESI仿宋-GB2312"/>
          <w:i/>
          <w:iCs/>
          <w:color w:val="auto"/>
          <w:sz w:val="32"/>
          <w:szCs w:val="32"/>
          <w:highlight w:val="white"/>
        </w:rPr>
        <w:t>。</w:t>
      </w:r>
    </w:p>
    <w:p w14:paraId="3A93DF2B">
      <w:pPr>
        <w:pStyle w:val="2"/>
        <w:rPr>
          <w:rFonts w:hint="eastAsia"/>
        </w:rPr>
      </w:pPr>
    </w:p>
    <w:p w14:paraId="7D7CA335"/>
    <w:p w14:paraId="4360A8E6">
      <w:pPr>
        <w:pStyle w:val="2"/>
      </w:pPr>
    </w:p>
    <w:p w14:paraId="78D07C45">
      <w:pPr>
        <w:pStyle w:val="3"/>
      </w:pPr>
    </w:p>
    <w:p w14:paraId="3DC62B8C"/>
    <w:p w14:paraId="411F699D">
      <w:pPr>
        <w:pStyle w:val="2"/>
      </w:pPr>
    </w:p>
    <w:p w14:paraId="7B3C5BBE">
      <w:pPr>
        <w:pStyle w:val="3"/>
      </w:pPr>
    </w:p>
    <w:p w14:paraId="7B3DF69C"/>
    <w:p w14:paraId="489AEB05">
      <w:pPr>
        <w:pStyle w:val="2"/>
      </w:pPr>
    </w:p>
    <w:p w14:paraId="63F2D0F7">
      <w:pPr>
        <w:pStyle w:val="3"/>
      </w:pPr>
    </w:p>
    <w:p w14:paraId="6E4B9587"/>
    <w:p w14:paraId="2BCB1897">
      <w:pPr>
        <w:pStyle w:val="2"/>
      </w:pPr>
    </w:p>
    <w:p w14:paraId="5C7DD4FD"/>
    <w:p w14:paraId="54F8FC34">
      <w:pPr>
        <w:pStyle w:val="2"/>
      </w:pPr>
    </w:p>
    <w:p w14:paraId="215B646B">
      <w:pPr>
        <w:pStyle w:val="3"/>
      </w:pPr>
    </w:p>
    <w:p w14:paraId="6CC58494"/>
    <w:p w14:paraId="50B081B9">
      <w:pPr>
        <w:pStyle w:val="2"/>
      </w:pPr>
    </w:p>
    <w:p w14:paraId="6F67A8B4">
      <w:pPr>
        <w:pStyle w:val="3"/>
      </w:pPr>
    </w:p>
    <w:p w14:paraId="5EEAF937"/>
    <w:p w14:paraId="2C20ED3C">
      <w:pPr>
        <w:pStyle w:val="2"/>
      </w:pPr>
    </w:p>
    <w:p w14:paraId="50951CD0">
      <w:pPr>
        <w:pStyle w:val="3"/>
      </w:pPr>
    </w:p>
    <w:p w14:paraId="6DC92E29"/>
    <w:p w14:paraId="291AC1EE">
      <w:pPr>
        <w:pStyle w:val="2"/>
      </w:pPr>
    </w:p>
    <w:p w14:paraId="1CF123B2">
      <w:pPr>
        <w:pStyle w:val="3"/>
      </w:pPr>
    </w:p>
    <w:p w14:paraId="33E2D095"/>
    <w:p w14:paraId="160E0BC6">
      <w:pPr>
        <w:pStyle w:val="14"/>
        <w:jc w:val="center"/>
        <w:rPr>
          <w:rFonts w:hint="eastAsia" w:ascii="方正小标宋_GBK" w:hAnsi="方正小标宋_GBK" w:eastAsia="方正小标宋_GBK" w:cs="方正小标宋_GBK"/>
          <w:sz w:val="84"/>
          <w:szCs w:val="84"/>
        </w:rPr>
      </w:pPr>
    </w:p>
    <w:p w14:paraId="6018E44C">
      <w:pPr>
        <w:pStyle w:val="14"/>
        <w:jc w:val="center"/>
        <w:rPr>
          <w:rFonts w:hint="eastAsia" w:ascii="方正小标宋_GBK" w:hAnsi="方正小标宋_GBK" w:eastAsia="方正小标宋_GBK" w:cs="方正小标宋_GBK"/>
          <w:sz w:val="84"/>
          <w:szCs w:val="84"/>
        </w:rPr>
      </w:pPr>
    </w:p>
    <w:p w14:paraId="15D34C43">
      <w:pPr>
        <w:pStyle w:val="14"/>
        <w:jc w:val="center"/>
        <w:rPr>
          <w:rFonts w:hint="eastAsia" w:ascii="方正小标宋_GBK" w:hAnsi="方正小标宋_GBK" w:eastAsia="方正小标宋_GBK" w:cs="方正小标宋_GBK"/>
          <w:sz w:val="84"/>
          <w:szCs w:val="84"/>
        </w:rPr>
      </w:pPr>
    </w:p>
    <w:p w14:paraId="73C028F0">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3DEC22A3">
      <w:pPr>
        <w:pStyle w:val="14"/>
        <w:jc w:val="center"/>
        <w:rPr>
          <w:rFonts w:hint="eastAsia" w:ascii="方正小标宋_GBK" w:hAnsi="方正小标宋_GBK" w:eastAsia="方正小标宋_GBK" w:cs="方正小标宋_GBK"/>
          <w:sz w:val="84"/>
          <w:szCs w:val="84"/>
        </w:rPr>
      </w:pPr>
    </w:p>
    <w:p w14:paraId="52D820AA">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156AFABF">
      <w:pPr>
        <w:pStyle w:val="14"/>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14:paraId="5BBBBA1E">
      <w:pPr>
        <w:pStyle w:val="14"/>
        <w:jc w:val="center"/>
        <w:rPr>
          <w:rFonts w:hint="eastAsia" w:ascii="仿宋_GB2312" w:hAnsi="仿宋_GB2312" w:eastAsia="仿宋_GB2312" w:cs="仿宋_GB2312"/>
          <w:b w:val="0"/>
          <w:bCs w:val="0"/>
          <w:sz w:val="72"/>
          <w:szCs w:val="72"/>
          <w:lang w:eastAsia="zh-CN"/>
        </w:rPr>
      </w:pPr>
    </w:p>
    <w:p w14:paraId="2D480DD6">
      <w:pPr>
        <w:pStyle w:val="14"/>
        <w:jc w:val="center"/>
        <w:rPr>
          <w:rFonts w:hint="eastAsia" w:ascii="仿宋_GB2312" w:hAnsi="仿宋_GB2312" w:eastAsia="仿宋_GB2312" w:cs="仿宋_GB2312"/>
          <w:b w:val="0"/>
          <w:bCs w:val="0"/>
          <w:sz w:val="72"/>
          <w:szCs w:val="72"/>
          <w:lang w:eastAsia="zh-CN"/>
        </w:rPr>
      </w:pPr>
    </w:p>
    <w:p w14:paraId="57AF12A8">
      <w:pPr>
        <w:pStyle w:val="14"/>
        <w:jc w:val="center"/>
        <w:rPr>
          <w:rFonts w:hint="eastAsia" w:ascii="仿宋_GB2312" w:hAnsi="仿宋_GB2312" w:eastAsia="仿宋_GB2312" w:cs="仿宋_GB2312"/>
          <w:b w:val="0"/>
          <w:bCs w:val="0"/>
          <w:sz w:val="72"/>
          <w:szCs w:val="72"/>
          <w:lang w:eastAsia="zh-CN"/>
        </w:rPr>
      </w:pPr>
    </w:p>
    <w:p w14:paraId="3D347E32">
      <w:pPr>
        <w:pStyle w:val="14"/>
        <w:jc w:val="center"/>
        <w:rPr>
          <w:rFonts w:hint="eastAsia" w:ascii="仿宋_GB2312" w:hAnsi="仿宋_GB2312" w:eastAsia="仿宋_GB2312" w:cs="仿宋_GB2312"/>
          <w:b w:val="0"/>
          <w:bCs w:val="0"/>
          <w:sz w:val="72"/>
          <w:szCs w:val="72"/>
          <w:lang w:eastAsia="zh-CN"/>
        </w:rPr>
      </w:pPr>
    </w:p>
    <w:p w14:paraId="2CCB19F7">
      <w:pPr>
        <w:pStyle w:val="14"/>
        <w:jc w:val="center"/>
        <w:rPr>
          <w:rFonts w:hint="eastAsia" w:ascii="仿宋_GB2312" w:hAnsi="仿宋_GB2312" w:eastAsia="仿宋_GB2312" w:cs="仿宋_GB2312"/>
          <w:b w:val="0"/>
          <w:bCs w:val="0"/>
          <w:sz w:val="72"/>
          <w:szCs w:val="72"/>
          <w:lang w:eastAsia="zh-CN"/>
        </w:rPr>
      </w:pPr>
    </w:p>
    <w:p w14:paraId="07330707">
      <w:pPr>
        <w:pStyle w:val="14"/>
        <w:jc w:val="center"/>
        <w:rPr>
          <w:rFonts w:hint="eastAsia" w:ascii="仿宋_GB2312" w:hAnsi="仿宋_GB2312" w:eastAsia="仿宋_GB2312" w:cs="仿宋_GB2312"/>
          <w:b w:val="0"/>
          <w:bCs w:val="0"/>
          <w:sz w:val="72"/>
          <w:szCs w:val="72"/>
          <w:lang w:eastAsia="zh-CN"/>
        </w:rPr>
      </w:pPr>
    </w:p>
    <w:p w14:paraId="500454A7">
      <w:pPr>
        <w:pStyle w:val="14"/>
        <w:jc w:val="center"/>
        <w:rPr>
          <w:rFonts w:hint="eastAsia" w:ascii="仿宋_GB2312" w:hAnsi="仿宋_GB2312" w:eastAsia="仿宋_GB2312" w:cs="仿宋_GB2312"/>
          <w:b w:val="0"/>
          <w:bCs w:val="0"/>
          <w:sz w:val="72"/>
          <w:szCs w:val="72"/>
          <w:lang w:eastAsia="zh-CN"/>
        </w:rPr>
      </w:pPr>
    </w:p>
    <w:p w14:paraId="017C8323">
      <w:pPr>
        <w:pStyle w:val="14"/>
        <w:jc w:val="center"/>
        <w:rPr>
          <w:rFonts w:hint="eastAsia" w:ascii="方正小标宋_GBK" w:hAnsi="方正小标宋_GBK" w:eastAsia="方正小标宋_GBK" w:cs="方正小标宋_GBK"/>
          <w:sz w:val="72"/>
          <w:szCs w:val="72"/>
        </w:rPr>
      </w:pPr>
    </w:p>
    <w:p w14:paraId="716EE074">
      <w:pPr>
        <w:pStyle w:val="14"/>
        <w:jc w:val="center"/>
        <w:rPr>
          <w:rFonts w:hint="eastAsia" w:ascii="方正小标宋_GBK" w:hAnsi="方正小标宋_GBK" w:eastAsia="方正小标宋_GBK" w:cs="方正小标宋_GBK"/>
          <w:sz w:val="72"/>
          <w:szCs w:val="72"/>
        </w:rPr>
      </w:pPr>
    </w:p>
    <w:p w14:paraId="666F0966">
      <w:pPr>
        <w:pStyle w:val="14"/>
        <w:jc w:val="both"/>
        <w:rPr>
          <w:rFonts w:hint="eastAsia" w:ascii="方正小标宋_GBK" w:hAnsi="方正小标宋_GBK" w:eastAsia="方正小标宋_GBK" w:cs="方正小标宋_GBK"/>
          <w:sz w:val="72"/>
          <w:szCs w:val="72"/>
        </w:rPr>
      </w:pPr>
    </w:p>
    <w:p w14:paraId="1190CB27">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3683ED5C">
      <w:pPr>
        <w:pStyle w:val="14"/>
        <w:jc w:val="center"/>
        <w:rPr>
          <w:rFonts w:hint="eastAsia" w:ascii="方正小标宋_GBK" w:hAnsi="方正小标宋_GBK" w:eastAsia="方正小标宋_GBK" w:cs="方正小标宋_GBK"/>
          <w:sz w:val="70"/>
          <w:szCs w:val="70"/>
        </w:rPr>
      </w:pPr>
    </w:p>
    <w:p w14:paraId="0DF2A035">
      <w:pPr>
        <w:pStyle w:val="14"/>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14:paraId="5A61E4EE">
      <w:pPr>
        <w:pStyle w:val="14"/>
        <w:jc w:val="center"/>
        <w:rPr>
          <w:rFonts w:hint="eastAsia" w:ascii="方正小标宋_GBK" w:hAnsi="方正小标宋_GBK" w:eastAsia="方正小标宋_GBK" w:cs="方正小标宋_GBK"/>
          <w:sz w:val="70"/>
          <w:szCs w:val="70"/>
        </w:rPr>
      </w:pPr>
    </w:p>
    <w:p w14:paraId="767072EC">
      <w:pPr>
        <w:pStyle w:val="14"/>
        <w:jc w:val="center"/>
        <w:rPr>
          <w:rFonts w:hint="eastAsia" w:ascii="方正小标宋_GBK" w:hAnsi="方正小标宋_GBK" w:eastAsia="方正小标宋_GBK" w:cs="方正小标宋_GBK"/>
          <w:sz w:val="70"/>
          <w:szCs w:val="70"/>
        </w:rPr>
      </w:pPr>
    </w:p>
    <w:p w14:paraId="1B7CA771">
      <w:pPr>
        <w:pStyle w:val="14"/>
        <w:jc w:val="center"/>
        <w:rPr>
          <w:rFonts w:hint="eastAsia" w:ascii="方正小标宋_GBK" w:hAnsi="方正小标宋_GBK" w:eastAsia="方正小标宋_GBK" w:cs="方正小标宋_GBK"/>
          <w:sz w:val="70"/>
          <w:szCs w:val="70"/>
        </w:rPr>
      </w:pPr>
    </w:p>
    <w:p w14:paraId="29A1CC01">
      <w:pPr>
        <w:pStyle w:val="14"/>
        <w:jc w:val="center"/>
        <w:rPr>
          <w:rFonts w:hint="eastAsia" w:ascii="方正小标宋_GBK" w:hAnsi="方正小标宋_GBK" w:eastAsia="方正小标宋_GBK" w:cs="方正小标宋_GBK"/>
          <w:sz w:val="70"/>
          <w:szCs w:val="70"/>
        </w:rPr>
      </w:pPr>
    </w:p>
    <w:p w14:paraId="09C4C84C">
      <w:pPr>
        <w:pStyle w:val="14"/>
        <w:jc w:val="center"/>
        <w:rPr>
          <w:rFonts w:hint="eastAsia" w:ascii="方正小标宋_GBK" w:hAnsi="方正小标宋_GBK" w:eastAsia="方正小标宋_GBK" w:cs="方正小标宋_GBK"/>
          <w:sz w:val="70"/>
          <w:szCs w:val="70"/>
        </w:rPr>
      </w:pPr>
    </w:p>
    <w:p w14:paraId="745D46C0">
      <w:pPr>
        <w:pStyle w:val="14"/>
        <w:jc w:val="center"/>
        <w:rPr>
          <w:rFonts w:hint="eastAsia" w:ascii="方正小标宋_GBK" w:hAnsi="方正小标宋_GBK" w:eastAsia="方正小标宋_GBK" w:cs="方正小标宋_GBK"/>
          <w:sz w:val="70"/>
          <w:szCs w:val="70"/>
        </w:rPr>
      </w:pPr>
    </w:p>
    <w:p w14:paraId="596F38AF">
      <w:pPr>
        <w:pStyle w:val="14"/>
        <w:jc w:val="center"/>
        <w:rPr>
          <w:rFonts w:hint="eastAsia" w:ascii="方正小标宋_GBK" w:hAnsi="方正小标宋_GBK" w:eastAsia="方正小标宋_GBK" w:cs="方正小标宋_GBK"/>
          <w:sz w:val="70"/>
          <w:szCs w:val="70"/>
        </w:rPr>
      </w:pPr>
    </w:p>
    <w:p w14:paraId="2B63401B">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14:paraId="169C76B6">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1917125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w:t>
      </w:r>
      <w:r>
        <w:rPr>
          <w:rFonts w:hint="eastAsia" w:ascii="仿宋_GB2312" w:hAnsi="仿宋_GB2312" w:eastAsia="仿宋_GB2312" w:cs="仿宋_GB2312"/>
          <w:sz w:val="32"/>
          <w:szCs w:val="32"/>
          <w:lang w:val="en-US" w:eastAsia="zh-CN"/>
        </w:rPr>
        <w:t>5539.49</w:t>
      </w:r>
      <w:r>
        <w:rPr>
          <w:rFonts w:hint="eastAsia" w:ascii="仿宋_GB2312" w:hAnsi="仿宋_GB2312" w:eastAsia="仿宋_GB2312" w:cs="仿宋_GB2312"/>
          <w:sz w:val="32"/>
          <w:szCs w:val="32"/>
        </w:rPr>
        <w:t>万元。与上年相比，增加</w:t>
      </w:r>
      <w:r>
        <w:rPr>
          <w:rFonts w:hint="eastAsia" w:ascii="仿宋_GB2312" w:hAnsi="仿宋_GB2312" w:eastAsia="仿宋_GB2312" w:cs="仿宋_GB2312"/>
          <w:sz w:val="32"/>
          <w:szCs w:val="32"/>
          <w:lang w:val="en-US" w:eastAsia="zh-CN"/>
        </w:rPr>
        <w:t>179.62</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3.35</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eastAsia="zh-CN"/>
        </w:rPr>
        <w:t>岳阳旅发大会召开材料采购增加。</w:t>
      </w:r>
    </w:p>
    <w:p w14:paraId="66921B74">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47D7C19A">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w:t>
      </w:r>
      <w:r>
        <w:rPr>
          <w:rFonts w:hint="eastAsia" w:ascii="仿宋_GB2312" w:hAnsi="仿宋_GB2312" w:eastAsia="仿宋_GB2312" w:cs="仿宋_GB2312"/>
          <w:sz w:val="32"/>
          <w:szCs w:val="32"/>
          <w:lang w:val="en-US" w:eastAsia="zh-CN"/>
        </w:rPr>
        <w:t>5539.49</w:t>
      </w:r>
      <w:r>
        <w:rPr>
          <w:rFonts w:hint="eastAsia" w:ascii="仿宋_GB2312" w:hAnsi="仿宋_GB2312" w:eastAsia="仿宋_GB2312" w:cs="仿宋_GB2312"/>
          <w:sz w:val="32"/>
          <w:szCs w:val="32"/>
        </w:rPr>
        <w:t>万元，其中：财政拨款收入</w:t>
      </w:r>
      <w:r>
        <w:rPr>
          <w:rFonts w:hint="eastAsia" w:ascii="仿宋_GB2312" w:hAnsi="仿宋_GB2312" w:eastAsia="仿宋_GB2312" w:cs="仿宋_GB2312"/>
          <w:sz w:val="32"/>
          <w:szCs w:val="32"/>
          <w:lang w:val="en-US" w:eastAsia="zh-CN"/>
        </w:rPr>
        <w:t>4780.81</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86.30</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758.68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13.70</w:t>
      </w:r>
      <w:r>
        <w:rPr>
          <w:rFonts w:hint="eastAsia" w:ascii="仿宋_GB2312" w:hAnsi="仿宋_GB2312" w:eastAsia="仿宋_GB2312" w:cs="仿宋_GB2312"/>
          <w:sz w:val="32"/>
          <w:szCs w:val="32"/>
        </w:rPr>
        <w:t>%。</w:t>
      </w:r>
    </w:p>
    <w:p w14:paraId="10D15D92">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3291CAE0">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w:t>
      </w:r>
      <w:r>
        <w:rPr>
          <w:rFonts w:hint="eastAsia" w:ascii="仿宋_GB2312" w:hAnsi="仿宋_GB2312" w:eastAsia="仿宋_GB2312" w:cs="仿宋_GB2312"/>
          <w:sz w:val="32"/>
          <w:szCs w:val="32"/>
          <w:lang w:val="en-US" w:eastAsia="zh-CN"/>
        </w:rPr>
        <w:t>5539.49</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1359.78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24.55</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4179.71</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75.45</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61994BD6">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233960BE">
      <w:pPr>
        <w:pStyle w:val="14"/>
        <w:keepNext w:val="0"/>
        <w:keepLines w:val="0"/>
        <w:pageBreakBefore w:val="0"/>
        <w:widowControl w:val="0"/>
        <w:kinsoku/>
        <w:wordWrap/>
        <w:overflowPunct/>
        <w:topLinePunct w:val="0"/>
        <w:bidi w:val="0"/>
        <w:snapToGrid/>
        <w:spacing w:line="600" w:lineRule="exact"/>
        <w:textAlignment w:val="auto"/>
        <w:rPr>
          <w:rFonts w:hint="default" w:ascii="仿宋_GB2312" w:hAnsi="仿宋_GB2312" w:eastAsia="仿宋_GB2312" w:cs="仿宋_GB2312"/>
          <w:sz w:val="32"/>
          <w:szCs w:val="32"/>
          <w:lang w:val="en-US"/>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w:t>
      </w:r>
      <w:r>
        <w:rPr>
          <w:rFonts w:hint="eastAsia" w:ascii="仿宋_GB2312" w:hAnsi="仿宋_GB2312" w:eastAsia="仿宋_GB2312" w:cs="仿宋_GB2312"/>
          <w:sz w:val="32"/>
          <w:szCs w:val="32"/>
          <w:lang w:val="en-US" w:eastAsia="zh-CN"/>
        </w:rPr>
        <w:t>4780.81</w:t>
      </w:r>
      <w:r>
        <w:rPr>
          <w:rFonts w:hint="eastAsia" w:ascii="仿宋_GB2312" w:hAnsi="仿宋_GB2312" w:eastAsia="仿宋_GB2312" w:cs="仿宋_GB2312"/>
          <w:sz w:val="32"/>
          <w:szCs w:val="32"/>
        </w:rPr>
        <w:t>万元，与上年相比，增加</w:t>
      </w:r>
      <w:r>
        <w:rPr>
          <w:rFonts w:hint="eastAsia" w:ascii="仿宋_GB2312" w:hAnsi="仿宋_GB2312" w:eastAsia="仿宋_GB2312" w:cs="仿宋_GB2312"/>
          <w:sz w:val="32"/>
          <w:szCs w:val="32"/>
          <w:lang w:val="en-US" w:eastAsia="zh-CN"/>
        </w:rPr>
        <w:t>160.28</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3.47</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eastAsia="zh-CN"/>
        </w:rPr>
        <w:t>岳阳旅发大会召开材料采购增加。</w:t>
      </w:r>
    </w:p>
    <w:p w14:paraId="5395CFAC">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6F8C0C69">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14:paraId="17185451">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4780.81</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86.30</w:t>
      </w:r>
      <w:r>
        <w:rPr>
          <w:rFonts w:hint="eastAsia" w:ascii="仿宋_GB2312" w:hAnsi="仿宋_GB2312" w:eastAsia="仿宋_GB2312" w:cs="仿宋_GB2312"/>
          <w:sz w:val="32"/>
          <w:szCs w:val="32"/>
        </w:rPr>
        <w:t>%，与上年相比，财政拨款支出增加</w:t>
      </w:r>
      <w:r>
        <w:rPr>
          <w:rFonts w:hint="eastAsia" w:ascii="仿宋_GB2312" w:hAnsi="仿宋_GB2312" w:eastAsia="仿宋_GB2312" w:cs="仿宋_GB2312"/>
          <w:sz w:val="32"/>
          <w:szCs w:val="32"/>
          <w:lang w:val="en-US" w:eastAsia="zh-CN"/>
        </w:rPr>
        <w:t>160.28</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3.47</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eastAsia="zh-CN"/>
        </w:rPr>
        <w:t>岳阳旅发大会召开材料采购增加。</w:t>
      </w:r>
    </w:p>
    <w:p w14:paraId="51F36845">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14:paraId="330D849B">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w:t>
      </w:r>
      <w:r>
        <w:rPr>
          <w:rFonts w:hint="eastAsia" w:ascii="仿宋_GB2312" w:hAnsi="仿宋_GB2312" w:eastAsia="仿宋_GB2312" w:cs="仿宋_GB2312"/>
          <w:sz w:val="32"/>
          <w:szCs w:val="32"/>
          <w:lang w:val="en-US" w:eastAsia="zh-CN"/>
        </w:rPr>
        <w:t>4780.81</w:t>
      </w:r>
      <w:r>
        <w:rPr>
          <w:rFonts w:hint="eastAsia" w:ascii="仿宋_GB2312" w:hAnsi="仿宋_GB2312" w:eastAsia="仿宋_GB2312" w:cs="仿宋_GB2312"/>
          <w:sz w:val="32"/>
          <w:szCs w:val="32"/>
        </w:rPr>
        <w:t>万元，主要用于以下方面：社会保障和就业（类）支出</w:t>
      </w:r>
      <w:r>
        <w:rPr>
          <w:rFonts w:hint="eastAsia" w:ascii="仿宋_GB2312" w:hAnsi="仿宋_GB2312" w:eastAsia="仿宋_GB2312" w:cs="仿宋_GB2312"/>
          <w:sz w:val="32"/>
          <w:szCs w:val="32"/>
          <w:lang w:val="en-US" w:eastAsia="zh-CN"/>
        </w:rPr>
        <w:t>102.82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占</w:t>
      </w:r>
      <w:r>
        <w:rPr>
          <w:rFonts w:hint="eastAsia" w:ascii="仿宋_GB2312" w:hAnsi="仿宋_GB2312" w:eastAsia="仿宋_GB2312" w:cs="仿宋_GB2312"/>
          <w:sz w:val="32"/>
          <w:szCs w:val="32"/>
          <w:lang w:val="en-US" w:eastAsia="zh-CN"/>
        </w:rPr>
        <w:t>2.15</w:t>
      </w:r>
      <w:r>
        <w:rPr>
          <w:rFonts w:hint="eastAsia" w:ascii="仿宋_GB2312" w:hAnsi="仿宋_GB2312" w:eastAsia="仿宋_GB2312" w:cs="仿宋_GB2312"/>
          <w:sz w:val="32"/>
          <w:szCs w:val="32"/>
        </w:rPr>
        <w:t>%；住房保障（类）支出</w:t>
      </w:r>
      <w:r>
        <w:rPr>
          <w:rFonts w:hint="eastAsia" w:ascii="仿宋_GB2312" w:hAnsi="仿宋_GB2312" w:eastAsia="仿宋_GB2312" w:cs="仿宋_GB2312"/>
          <w:sz w:val="32"/>
          <w:szCs w:val="32"/>
          <w:lang w:val="en-US" w:eastAsia="zh-CN"/>
        </w:rPr>
        <w:t>68.23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1.43</w:t>
      </w:r>
      <w:r>
        <w:rPr>
          <w:rFonts w:hint="eastAsia" w:ascii="仿宋_GB2312" w:hAnsi="仿宋_GB2312" w:eastAsia="仿宋_GB2312" w:cs="仿宋_GB2312"/>
          <w:sz w:val="32"/>
          <w:szCs w:val="32"/>
        </w:rPr>
        <w:t>%;城乡社区（类）支出</w:t>
      </w:r>
      <w:r>
        <w:rPr>
          <w:rFonts w:hint="eastAsia" w:ascii="仿宋_GB2312" w:hAnsi="仿宋_GB2312" w:eastAsia="仿宋_GB2312" w:cs="仿宋_GB2312"/>
          <w:sz w:val="32"/>
          <w:szCs w:val="32"/>
          <w:lang w:val="en-US" w:eastAsia="zh-CN"/>
        </w:rPr>
        <w:t>4609.76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96.42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14:paraId="3439E8C6">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14:paraId="3F53B0BE">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度财政拨款支出年初预算数为</w:t>
      </w:r>
      <w:r>
        <w:rPr>
          <w:rFonts w:hint="eastAsia" w:ascii="仿宋_GB2312" w:hAnsi="仿宋_GB2312" w:eastAsia="仿宋_GB2312" w:cs="仿宋_GB2312"/>
          <w:sz w:val="32"/>
          <w:szCs w:val="32"/>
          <w:lang w:val="en-US" w:eastAsia="zh-CN"/>
        </w:rPr>
        <w:t>4822.91</w:t>
      </w:r>
      <w:r>
        <w:rPr>
          <w:rFonts w:hint="eastAsia" w:ascii="仿宋_GB2312" w:hAnsi="仿宋_GB2312" w:eastAsia="仿宋_GB2312" w:cs="仿宋_GB2312"/>
          <w:sz w:val="32"/>
          <w:szCs w:val="32"/>
        </w:rPr>
        <w:t>万元</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含上年结转资金100.52万元）</w:t>
      </w:r>
      <w:r>
        <w:rPr>
          <w:rFonts w:hint="eastAsia" w:ascii="仿宋_GB2312" w:hAnsi="仿宋_GB2312" w:eastAsia="仿宋_GB2312" w:cs="仿宋_GB2312"/>
          <w:sz w:val="32"/>
          <w:szCs w:val="32"/>
        </w:rPr>
        <w:t>，支出决算数为</w:t>
      </w:r>
      <w:r>
        <w:rPr>
          <w:rFonts w:hint="eastAsia" w:ascii="仿宋_GB2312" w:hAnsi="仿宋_GB2312" w:eastAsia="仿宋_GB2312" w:cs="仿宋_GB2312"/>
          <w:sz w:val="32"/>
          <w:szCs w:val="32"/>
          <w:lang w:val="en-US" w:eastAsia="zh-CN"/>
        </w:rPr>
        <w:t>4780.81</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99.13</w:t>
      </w:r>
      <w:r>
        <w:rPr>
          <w:rFonts w:hint="eastAsia" w:ascii="仿宋_GB2312" w:hAnsi="仿宋_GB2312" w:eastAsia="仿宋_GB2312" w:cs="仿宋_GB2312"/>
          <w:sz w:val="32"/>
          <w:szCs w:val="32"/>
        </w:rPr>
        <w:t>%，其中：</w:t>
      </w:r>
    </w:p>
    <w:p w14:paraId="5D1F0F39">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1、社会保障和就业</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（类）行政事业单位养老</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（款）机关事业单位基本养老保险缴费</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（项）。</w:t>
      </w:r>
    </w:p>
    <w:p w14:paraId="79FC67EF">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95.18</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94.29</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99.06</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小</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b w:val="0"/>
          <w:bCs/>
          <w:color w:val="000000" w:themeColor="text1"/>
          <w:kern w:val="0"/>
          <w:sz w:val="32"/>
          <w:szCs w:val="32"/>
          <w:lang w:val="en-US" w:eastAsia="zh-CN" w:bidi="ar-SA"/>
          <w14:textFill>
            <w14:solidFill>
              <w14:schemeClr w14:val="tx1"/>
            </w14:solidFill>
          </w14:textFill>
        </w:rPr>
        <w:t>我单位中途有人员退休</w:t>
      </w:r>
      <w:r>
        <w:rPr>
          <w:rFonts w:hint="eastAsia" w:ascii="仿宋_GB2312" w:hAnsi="仿宋_GB2312" w:eastAsia="仿宋_GB2312" w:cs="仿宋_GB2312"/>
          <w:b w:val="0"/>
          <w:bCs/>
          <w:color w:val="auto"/>
          <w:kern w:val="0"/>
          <w:sz w:val="32"/>
          <w:szCs w:val="32"/>
          <w:lang w:val="en-US" w:eastAsia="zh-CN" w:bidi="ar-SA"/>
        </w:rPr>
        <w:t>。</w:t>
      </w:r>
    </w:p>
    <w:p w14:paraId="09B30B3D">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、社会保障和就业</w:t>
      </w:r>
      <w:r>
        <w:rPr>
          <w:rFonts w:hint="eastAsia" w:ascii="仿宋_GB2312" w:hAnsi="仿宋_GB2312" w:eastAsia="仿宋_GB2312" w:cs="仿宋_GB2312"/>
          <w:color w:val="000000" w:themeColor="text1"/>
          <w:sz w:val="32"/>
          <w:szCs w:val="32"/>
          <w:lang w:eastAsia="zh-CN"/>
          <w14:textFill>
            <w14:solidFill>
              <w14:schemeClr w14:val="tx1"/>
            </w14:solidFill>
          </w14:textFill>
        </w:rPr>
        <w:t>支出</w:t>
      </w:r>
      <w:r>
        <w:rPr>
          <w:rFonts w:hint="eastAsia" w:ascii="仿宋_GB2312" w:hAnsi="仿宋_GB2312" w:eastAsia="仿宋_GB2312" w:cs="仿宋_GB2312"/>
          <w:color w:val="000000" w:themeColor="text1"/>
          <w:sz w:val="32"/>
          <w:szCs w:val="32"/>
          <w14:textFill>
            <w14:solidFill>
              <w14:schemeClr w14:val="tx1"/>
            </w14:solidFill>
          </w14:textFill>
        </w:rPr>
        <w:t>（类）</w:t>
      </w:r>
      <w:r>
        <w:rPr>
          <w:rFonts w:hint="eastAsia" w:ascii="仿宋_GB2312" w:hAnsi="仿宋_GB2312" w:eastAsia="仿宋_GB2312" w:cs="仿宋_GB2312"/>
          <w:color w:val="000000" w:themeColor="text1"/>
          <w:sz w:val="32"/>
          <w:szCs w:val="32"/>
          <w:lang w:eastAsia="zh-CN"/>
          <w14:textFill>
            <w14:solidFill>
              <w14:schemeClr w14:val="tx1"/>
            </w14:solidFill>
          </w14:textFill>
        </w:rPr>
        <w:t>残疾人事业</w:t>
      </w:r>
      <w:r>
        <w:rPr>
          <w:rFonts w:hint="eastAsia" w:ascii="仿宋_GB2312" w:hAnsi="仿宋_GB2312" w:eastAsia="仿宋_GB2312" w:cs="仿宋_GB2312"/>
          <w:color w:val="000000" w:themeColor="text1"/>
          <w:sz w:val="32"/>
          <w:szCs w:val="32"/>
          <w14:textFill>
            <w14:solidFill>
              <w14:schemeClr w14:val="tx1"/>
            </w14:solidFill>
          </w14:textFill>
        </w:rPr>
        <w:t>（款）其他残疾人事业支出（项）。</w:t>
      </w:r>
    </w:p>
    <w:p w14:paraId="0E6DC742">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000000" w:themeColor="text1"/>
          <w:sz w:val="32"/>
          <w:szCs w:val="32"/>
          <w14:textFill>
            <w14:solidFill>
              <w14:schemeClr w14:val="tx1"/>
            </w14:solidFill>
          </w14:textFill>
        </w:rPr>
        <w:t>年初预算为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6.58</w:t>
      </w:r>
      <w:r>
        <w:rPr>
          <w:rFonts w:hint="eastAsia" w:ascii="仿宋_GB2312" w:hAnsi="仿宋_GB2312" w:eastAsia="仿宋_GB2312" w:cs="仿宋_GB2312"/>
          <w:color w:val="000000" w:themeColor="text1"/>
          <w:sz w:val="32"/>
          <w:szCs w:val="32"/>
          <w14:textFill>
            <w14:solidFill>
              <w14:schemeClr w14:val="tx1"/>
            </w14:solidFill>
          </w14:textFill>
        </w:rPr>
        <w:t>万元，支出决算为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6.58</w:t>
      </w:r>
      <w:r>
        <w:rPr>
          <w:rFonts w:hint="eastAsia" w:ascii="仿宋_GB2312" w:hAnsi="仿宋_GB2312" w:eastAsia="仿宋_GB2312" w:cs="仿宋_GB2312"/>
          <w:color w:val="000000" w:themeColor="text1"/>
          <w:sz w:val="32"/>
          <w:szCs w:val="32"/>
          <w14:textFill>
            <w14:solidFill>
              <w14:schemeClr w14:val="tx1"/>
            </w14:solidFill>
          </w14:textFill>
        </w:rPr>
        <w:t>万元，</w:t>
      </w:r>
      <w:r>
        <w:rPr>
          <w:rFonts w:hint="eastAsia" w:ascii="仿宋_GB2312" w:hAnsi="仿宋_GB2312" w:eastAsia="仿宋_GB2312" w:cs="仿宋_GB2312"/>
          <w:sz w:val="32"/>
          <w:szCs w:val="32"/>
        </w:rPr>
        <w:t>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b w:val="0"/>
          <w:bCs/>
          <w:color w:val="auto"/>
          <w:kern w:val="0"/>
          <w:sz w:val="32"/>
          <w:szCs w:val="32"/>
          <w:lang w:val="en-US" w:eastAsia="zh-CN" w:bidi="ar-SA"/>
        </w:rPr>
        <w:t>我单位严格按预算执行决算。</w:t>
      </w:r>
    </w:p>
    <w:p w14:paraId="20C39753">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、社会保障和就业</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（类）其他社会保障和就业支出（款）其他社会保障和就业支出（项）。</w:t>
      </w:r>
    </w:p>
    <w:p w14:paraId="5DC78C84">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2.34</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1.95</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83.33</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小</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b w:val="0"/>
          <w:bCs/>
          <w:color w:val="000000" w:themeColor="text1"/>
          <w:kern w:val="0"/>
          <w:sz w:val="32"/>
          <w:szCs w:val="32"/>
          <w:lang w:val="en-US" w:eastAsia="zh-CN" w:bidi="ar-SA"/>
          <w14:textFill>
            <w14:solidFill>
              <w14:schemeClr w14:val="tx1"/>
            </w14:solidFill>
          </w14:textFill>
        </w:rPr>
        <w:t>我单</w:t>
      </w:r>
      <w:r>
        <w:rPr>
          <w:rFonts w:hint="eastAsia" w:ascii="仿宋_GB2312" w:hAnsi="仿宋_GB2312" w:eastAsia="仿宋_GB2312" w:cs="仿宋_GB2312"/>
          <w:sz w:val="32"/>
          <w:szCs w:val="32"/>
          <w:lang w:val="en-US" w:eastAsia="zh-CN"/>
        </w:rPr>
        <w:t>位中途有人员退休</w:t>
      </w:r>
      <w:r>
        <w:rPr>
          <w:rFonts w:hint="eastAsia" w:ascii="仿宋_GB2312" w:hAnsi="仿宋_GB2312" w:eastAsia="仿宋_GB2312" w:cs="仿宋_GB2312"/>
          <w:b w:val="0"/>
          <w:bCs/>
          <w:color w:val="auto"/>
          <w:kern w:val="0"/>
          <w:sz w:val="32"/>
          <w:szCs w:val="32"/>
          <w:lang w:val="en-US" w:eastAsia="zh-CN" w:bidi="ar-SA"/>
        </w:rPr>
        <w:t>。</w:t>
      </w:r>
    </w:p>
    <w:p w14:paraId="2A4E94F3">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、住房保障</w:t>
      </w:r>
      <w:r>
        <w:rPr>
          <w:rFonts w:hint="eastAsia" w:ascii="仿宋_GB2312" w:hAnsi="仿宋_GB2312" w:eastAsia="仿宋_GB2312" w:cs="仿宋_GB2312"/>
          <w:sz w:val="32"/>
          <w:szCs w:val="32"/>
          <w:lang w:eastAsia="zh-CN"/>
        </w:rPr>
        <w:t>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住房改革支出</w:t>
      </w:r>
      <w:r>
        <w:rPr>
          <w:rFonts w:hint="eastAsia" w:ascii="仿宋_GB2312" w:hAnsi="仿宋_GB2312" w:eastAsia="仿宋_GB2312" w:cs="仿宋_GB2312"/>
          <w:sz w:val="32"/>
          <w:szCs w:val="32"/>
        </w:rPr>
        <w:t>（款）住房公积金（项）。</w:t>
      </w:r>
    </w:p>
    <w:p w14:paraId="26750394">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68.64</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68.23</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99.40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小</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b w:val="0"/>
          <w:bCs/>
          <w:color w:val="000000" w:themeColor="text1"/>
          <w:kern w:val="0"/>
          <w:sz w:val="32"/>
          <w:szCs w:val="32"/>
          <w:lang w:val="en-US" w:eastAsia="zh-CN" w:bidi="ar-SA"/>
          <w14:textFill>
            <w14:solidFill>
              <w14:schemeClr w14:val="tx1"/>
            </w14:solidFill>
          </w14:textFill>
        </w:rPr>
        <w:t>我单</w:t>
      </w:r>
      <w:r>
        <w:rPr>
          <w:rFonts w:hint="eastAsia" w:ascii="仿宋_GB2312" w:hAnsi="仿宋_GB2312" w:eastAsia="仿宋_GB2312" w:cs="仿宋_GB2312"/>
          <w:sz w:val="32"/>
          <w:szCs w:val="32"/>
          <w:lang w:val="en-US" w:eastAsia="zh-CN"/>
        </w:rPr>
        <w:t>位中途有人员退休</w:t>
      </w:r>
      <w:r>
        <w:rPr>
          <w:rFonts w:hint="eastAsia" w:ascii="仿宋_GB2312" w:hAnsi="仿宋_GB2312" w:eastAsia="仿宋_GB2312" w:cs="仿宋_GB2312"/>
          <w:b w:val="0"/>
          <w:bCs/>
          <w:color w:val="auto"/>
          <w:kern w:val="0"/>
          <w:sz w:val="32"/>
          <w:szCs w:val="32"/>
          <w:lang w:val="en-US" w:eastAsia="zh-CN" w:bidi="ar-SA"/>
        </w:rPr>
        <w:t>。</w:t>
      </w:r>
    </w:p>
    <w:p w14:paraId="24CD4195">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、城乡社区支出（类）</w:t>
      </w:r>
      <w:r>
        <w:rPr>
          <w:rFonts w:hint="eastAsia" w:ascii="仿宋_GB2312" w:hAnsi="仿宋_GB2312" w:eastAsia="仿宋_GB2312" w:cs="仿宋_GB2312"/>
          <w:sz w:val="32"/>
          <w:szCs w:val="32"/>
          <w:lang w:eastAsia="zh-CN"/>
        </w:rPr>
        <w:t xml:space="preserve"> 城乡社区规划与管理</w:t>
      </w:r>
      <w:r>
        <w:rPr>
          <w:rFonts w:hint="eastAsia" w:ascii="仿宋_GB2312" w:hAnsi="仿宋_GB2312" w:eastAsia="仿宋_GB2312" w:cs="仿宋_GB2312"/>
          <w:sz w:val="32"/>
          <w:szCs w:val="32"/>
        </w:rPr>
        <w:t>（款） 城乡社区规划与管理（项）。</w:t>
      </w:r>
    </w:p>
    <w:p w14:paraId="2DEAAE58">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黑体" w:hAnsi="黑体" w:eastAsia="仿宋_GB2312" w:cs="黑体"/>
          <w:b w:val="0"/>
          <w:bCs/>
          <w:color w:val="auto"/>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4124.88</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4124.88</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b w:val="0"/>
          <w:bCs/>
          <w:color w:val="auto"/>
          <w:kern w:val="0"/>
          <w:sz w:val="32"/>
          <w:szCs w:val="32"/>
          <w:lang w:val="en-US" w:eastAsia="zh-CN" w:bidi="ar-SA"/>
        </w:rPr>
        <w:t>我单位严格按预算执行决算</w:t>
      </w:r>
      <w:r>
        <w:rPr>
          <w:rFonts w:hint="eastAsia" w:ascii="仿宋_GB2312" w:hAnsi="仿宋_GB2312" w:eastAsia="仿宋_GB2312" w:cs="仿宋_GB2312"/>
          <w:color w:val="auto"/>
          <w:sz w:val="32"/>
          <w:szCs w:val="32"/>
          <w:lang w:val="en-US" w:eastAsia="zh-CN"/>
        </w:rPr>
        <w:t>。</w:t>
      </w:r>
    </w:p>
    <w:p w14:paraId="4632E909">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、城乡社区支出（类）</w:t>
      </w:r>
      <w:r>
        <w:rPr>
          <w:rFonts w:hint="eastAsia" w:ascii="仿宋_GB2312" w:hAnsi="仿宋_GB2312" w:eastAsia="仿宋_GB2312" w:cs="仿宋_GB2312"/>
          <w:sz w:val="32"/>
          <w:szCs w:val="32"/>
          <w:lang w:eastAsia="zh-CN"/>
        </w:rPr>
        <w:t xml:space="preserve"> 其他城乡社区支出</w:t>
      </w:r>
      <w:r>
        <w:rPr>
          <w:rFonts w:hint="eastAsia" w:ascii="仿宋_GB2312" w:hAnsi="仿宋_GB2312" w:eastAsia="仿宋_GB2312" w:cs="仿宋_GB2312"/>
          <w:sz w:val="32"/>
          <w:szCs w:val="32"/>
        </w:rPr>
        <w:t>（款） 其他城乡社区支出（项）。</w:t>
      </w:r>
    </w:p>
    <w:p w14:paraId="33DCC5F5">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黑体" w:hAnsi="黑体" w:eastAsia="仿宋_GB2312" w:cs="黑体"/>
          <w:b w:val="0"/>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285.70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280.70</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98.25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小</w:t>
      </w:r>
      <w:r>
        <w:rPr>
          <w:rFonts w:hint="eastAsia" w:ascii="仿宋_GB2312" w:hAnsi="仿宋_GB2312" w:eastAsia="仿宋_GB2312" w:cs="仿宋_GB2312"/>
          <w:sz w:val="32"/>
          <w:szCs w:val="32"/>
        </w:rPr>
        <w:t>于年初预算数的主要原因是</w:t>
      </w:r>
      <w:r>
        <w:rPr>
          <w:rFonts w:hint="eastAsia" w:ascii="仿宋_GB2312" w:hAnsi="仿宋_GB2312" w:eastAsia="仿宋_GB2312" w:cs="仿宋_GB2312"/>
          <w:b w:val="0"/>
          <w:bCs/>
          <w:color w:val="000000" w:themeColor="text1"/>
          <w:kern w:val="0"/>
          <w:sz w:val="32"/>
          <w:szCs w:val="32"/>
          <w:lang w:val="en-US" w:eastAsia="zh-CN" w:bidi="ar-SA"/>
          <w14:textFill>
            <w14:solidFill>
              <w14:schemeClr w14:val="tx1"/>
            </w14:solidFill>
          </w14:textFill>
        </w:rPr>
        <w:t>5万元非税收入结转至下一年度</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14:paraId="74120EC4">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、城乡社区支出（类）</w:t>
      </w:r>
      <w:r>
        <w:rPr>
          <w:rFonts w:hint="eastAsia" w:ascii="仿宋_GB2312" w:hAnsi="仿宋_GB2312" w:eastAsia="仿宋_GB2312" w:cs="仿宋_GB2312"/>
          <w:sz w:val="32"/>
          <w:szCs w:val="32"/>
          <w:lang w:eastAsia="zh-CN"/>
        </w:rPr>
        <w:t>城乡社区管理事务</w:t>
      </w:r>
      <w:r>
        <w:rPr>
          <w:rFonts w:hint="eastAsia" w:ascii="仿宋_GB2312" w:hAnsi="仿宋_GB2312" w:eastAsia="仿宋_GB2312" w:cs="仿宋_GB2312"/>
          <w:sz w:val="32"/>
          <w:szCs w:val="32"/>
        </w:rPr>
        <w:t>（款）其他城乡社区管理事务支出（项）。</w:t>
      </w:r>
    </w:p>
    <w:p w14:paraId="6CB58B95">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黑体" w:hAnsi="黑体" w:eastAsia="黑体" w:cs="黑体"/>
          <w:b w:val="0"/>
          <w:bCs/>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23.50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18.42</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val="en-US" w:eastAsia="zh-CN"/>
        </w:rPr>
        <w:t>小于</w:t>
      </w:r>
      <w:r>
        <w:rPr>
          <w:rFonts w:hint="eastAsia" w:ascii="仿宋_GB2312" w:hAnsi="仿宋_GB2312" w:eastAsia="仿宋_GB2312" w:cs="仿宋_GB2312"/>
          <w:sz w:val="32"/>
          <w:szCs w:val="32"/>
        </w:rPr>
        <w:t>年初预算数的</w:t>
      </w:r>
      <w:r>
        <w:rPr>
          <w:rFonts w:hint="eastAsia" w:ascii="仿宋_GB2312" w:hAnsi="仿宋_GB2312" w:eastAsia="仿宋_GB2312" w:cs="仿宋_GB2312"/>
          <w:color w:val="auto"/>
          <w:sz w:val="32"/>
          <w:szCs w:val="32"/>
        </w:rPr>
        <w:t>主要原因是</w:t>
      </w:r>
      <w:r>
        <w:rPr>
          <w:rFonts w:hint="eastAsia" w:ascii="仿宋_GB2312" w:hAnsi="仿宋_GB2312" w:eastAsia="仿宋_GB2312" w:cs="仿宋_GB2312"/>
          <w:sz w:val="32"/>
          <w:szCs w:val="32"/>
          <w:lang w:eastAsia="zh-CN"/>
        </w:rPr>
        <w:t>响应政府号召，经费压减，节约开支</w:t>
      </w:r>
      <w:r>
        <w:rPr>
          <w:rFonts w:hint="eastAsia" w:ascii="仿宋_GB2312" w:hAnsi="仿宋_GB2312" w:eastAsia="仿宋_GB2312" w:cs="仿宋_GB2312"/>
          <w:color w:val="auto"/>
          <w:sz w:val="32"/>
          <w:lang w:val="en-US" w:eastAsia="zh-CN"/>
        </w:rPr>
        <w:t>。</w:t>
      </w:r>
    </w:p>
    <w:p w14:paraId="71DB84B4">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、城乡社区支出（类）</w:t>
      </w:r>
      <w:r>
        <w:rPr>
          <w:rFonts w:hint="eastAsia" w:ascii="仿宋_GB2312" w:hAnsi="仿宋_GB2312" w:eastAsia="仿宋_GB2312" w:cs="仿宋_GB2312"/>
          <w:sz w:val="32"/>
          <w:szCs w:val="32"/>
          <w:lang w:eastAsia="zh-CN"/>
        </w:rPr>
        <w:t>城乡社区管理事务</w:t>
      </w:r>
      <w:r>
        <w:rPr>
          <w:rFonts w:hint="eastAsia" w:ascii="仿宋_GB2312" w:hAnsi="仿宋_GB2312" w:eastAsia="仿宋_GB2312" w:cs="仿宋_GB2312"/>
          <w:sz w:val="32"/>
          <w:szCs w:val="32"/>
        </w:rPr>
        <w:t>（款）行政运行（项）。</w:t>
      </w:r>
    </w:p>
    <w:p w14:paraId="784CD0AD">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216.09</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185.76</w:t>
      </w:r>
      <w:r>
        <w:rPr>
          <w:rFonts w:hint="eastAsia" w:ascii="仿宋_GB2312" w:hAnsi="仿宋_GB2312" w:eastAsia="仿宋_GB2312" w:cs="仿宋_GB2312"/>
          <w:sz w:val="32"/>
          <w:szCs w:val="32"/>
        </w:rPr>
        <w:t>万元，决算数</w:t>
      </w:r>
      <w:r>
        <w:rPr>
          <w:rFonts w:hint="eastAsia" w:ascii="仿宋_GB2312" w:hAnsi="仿宋_GB2312" w:eastAsia="仿宋_GB2312" w:cs="仿宋_GB2312"/>
          <w:sz w:val="32"/>
          <w:szCs w:val="32"/>
          <w:lang w:eastAsia="zh-CN"/>
        </w:rPr>
        <w:t>小</w:t>
      </w:r>
      <w:r>
        <w:rPr>
          <w:rFonts w:hint="eastAsia" w:ascii="仿宋_GB2312" w:hAnsi="仿宋_GB2312" w:eastAsia="仿宋_GB2312" w:cs="仿宋_GB2312"/>
          <w:sz w:val="32"/>
          <w:szCs w:val="32"/>
        </w:rPr>
        <w:t>于年初预算数的</w:t>
      </w:r>
      <w:r>
        <w:rPr>
          <w:rFonts w:hint="eastAsia" w:ascii="仿宋_GB2312" w:hAnsi="仿宋_GB2312" w:eastAsia="仿宋_GB2312" w:cs="仿宋_GB2312"/>
          <w:color w:val="auto"/>
          <w:sz w:val="32"/>
          <w:szCs w:val="32"/>
        </w:rPr>
        <w:t>主要原因是</w:t>
      </w:r>
      <w:r>
        <w:rPr>
          <w:rFonts w:hint="eastAsia" w:ascii="仿宋_GB2312" w:hAnsi="仿宋_GB2312" w:eastAsia="仿宋_GB2312" w:cs="仿宋_GB2312"/>
          <w:sz w:val="32"/>
          <w:szCs w:val="32"/>
          <w:lang w:eastAsia="zh-CN"/>
        </w:rPr>
        <w:t>响应政府号召，经费压减，节约开支</w:t>
      </w:r>
      <w:r>
        <w:rPr>
          <w:rFonts w:hint="eastAsia" w:ascii="仿宋_GB2312" w:hAnsi="仿宋_GB2312" w:eastAsia="仿宋_GB2312" w:cs="仿宋_GB2312"/>
          <w:color w:val="auto"/>
          <w:sz w:val="32"/>
          <w:szCs w:val="32"/>
          <w:lang w:val="en-US" w:eastAsia="zh-CN"/>
        </w:rPr>
        <w:t>。</w:t>
      </w:r>
    </w:p>
    <w:p w14:paraId="76AA37A8">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6D52B9EE">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w:t>
      </w:r>
      <w:r>
        <w:rPr>
          <w:rFonts w:hint="eastAsia" w:ascii="仿宋_GB2312" w:hAnsi="仿宋_GB2312" w:eastAsia="仿宋_GB2312" w:cs="仿宋_GB2312"/>
          <w:sz w:val="32"/>
          <w:szCs w:val="32"/>
          <w:lang w:val="en-US" w:eastAsia="zh-CN"/>
        </w:rPr>
        <w:t>1359.78</w:t>
      </w:r>
      <w:r>
        <w:rPr>
          <w:rFonts w:hint="eastAsia" w:ascii="仿宋_GB2312" w:hAnsi="仿宋_GB2312" w:eastAsia="仿宋_GB2312" w:cs="仿宋_GB2312"/>
          <w:sz w:val="32"/>
          <w:szCs w:val="32"/>
        </w:rPr>
        <w:t>万元，其中：</w:t>
      </w:r>
    </w:p>
    <w:p w14:paraId="70623657">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lang w:val="en-US" w:eastAsia="zh-CN"/>
        </w:rPr>
        <w:t>1223.72</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89.99</w:t>
      </w:r>
      <w:r>
        <w:rPr>
          <w:rFonts w:hint="eastAsia" w:ascii="仿宋_GB2312" w:hAnsi="仿宋_GB2312" w:eastAsia="仿宋_GB2312" w:cs="仿宋_GB2312"/>
          <w:sz w:val="32"/>
          <w:szCs w:val="32"/>
        </w:rPr>
        <w:t>%,主要包括基本工资、津贴补贴、奖金、伙食补助费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i w:val="0"/>
          <w:iCs w:val="0"/>
          <w:caps w:val="0"/>
          <w:color w:val="000000"/>
          <w:spacing w:val="0"/>
          <w:sz w:val="32"/>
          <w:szCs w:val="32"/>
        </w:rPr>
        <w:t>绩效工资、机关事业单位基本养老保险缴费、职工基本医疗保险缴费、其他社会保障缴费、住房公积金</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lang w:val="en-US" w:eastAsia="zh-CN"/>
        </w:rPr>
        <w:t>对个人和家庭的补助、退休费、抚恤金、医疗费补助、奖励金、其他对个人和家庭的补助</w:t>
      </w:r>
      <w:r>
        <w:rPr>
          <w:rFonts w:hint="eastAsia" w:ascii="仿宋_GB2312" w:hAnsi="仿宋_GB2312" w:eastAsia="仿宋_GB2312" w:cs="仿宋_GB2312"/>
          <w:i w:val="0"/>
          <w:iCs w:val="0"/>
          <w:caps w:val="0"/>
          <w:color w:val="000000"/>
          <w:spacing w:val="0"/>
          <w:sz w:val="32"/>
          <w:szCs w:val="32"/>
        </w:rPr>
        <w:t>；</w:t>
      </w:r>
    </w:p>
    <w:p w14:paraId="38CF48B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lang w:val="en-US" w:eastAsia="zh-CN"/>
        </w:rPr>
        <w:t>136.06</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10.01</w:t>
      </w:r>
      <w:r>
        <w:rPr>
          <w:rFonts w:hint="eastAsia" w:ascii="仿宋_GB2312" w:hAnsi="仿宋_GB2312" w:eastAsia="仿宋_GB2312" w:cs="仿宋_GB2312"/>
          <w:sz w:val="32"/>
          <w:szCs w:val="32"/>
        </w:rPr>
        <w:t>%，主要包括办公费、</w:t>
      </w:r>
      <w:r>
        <w:rPr>
          <w:rFonts w:hint="eastAsia" w:ascii="仿宋_GB2312" w:hAnsi="仿宋_GB2312" w:eastAsia="仿宋_GB2312" w:cs="仿宋_GB2312"/>
          <w:i w:val="0"/>
          <w:iCs w:val="0"/>
          <w:caps w:val="0"/>
          <w:color w:val="000000"/>
          <w:spacing w:val="0"/>
          <w:sz w:val="32"/>
          <w:szCs w:val="32"/>
        </w:rPr>
        <w:t>水费、邮电费、物业管理费、差旅费、</w:t>
      </w:r>
      <w:r>
        <w:rPr>
          <w:rFonts w:hint="eastAsia" w:ascii="仿宋_GB2312" w:hAnsi="仿宋_GB2312" w:eastAsia="仿宋_GB2312" w:cs="仿宋_GB2312"/>
          <w:i w:val="0"/>
          <w:iCs w:val="0"/>
          <w:caps w:val="0"/>
          <w:color w:val="000000"/>
          <w:spacing w:val="0"/>
          <w:sz w:val="32"/>
          <w:szCs w:val="32"/>
          <w:lang w:val="en-US" w:eastAsia="zh-CN"/>
        </w:rPr>
        <w:t>维修（护）费、公务接待费、</w:t>
      </w:r>
      <w:r>
        <w:rPr>
          <w:rFonts w:hint="eastAsia" w:ascii="仿宋_GB2312" w:hAnsi="仿宋_GB2312" w:eastAsia="仿宋_GB2312" w:cs="仿宋_GB2312"/>
          <w:i w:val="0"/>
          <w:iCs w:val="0"/>
          <w:caps w:val="0"/>
          <w:color w:val="000000"/>
          <w:spacing w:val="0"/>
          <w:sz w:val="32"/>
          <w:szCs w:val="32"/>
        </w:rPr>
        <w:t>工会经费、福利费、公务用车运行维护费、其他交通费用、其他商品和服务支出</w:t>
      </w:r>
      <w:r>
        <w:rPr>
          <w:rFonts w:hint="eastAsia" w:ascii="仿宋_GB2312" w:hAnsi="仿宋_GB2312" w:eastAsia="仿宋_GB2312" w:cs="仿宋_GB2312"/>
          <w:b w:val="0"/>
          <w:bCs/>
          <w:sz w:val="32"/>
          <w:szCs w:val="32"/>
          <w:lang w:eastAsia="zh-CN"/>
        </w:rPr>
        <w:t>。</w:t>
      </w:r>
    </w:p>
    <w:p w14:paraId="0ECAD313">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5399FC34">
      <w:pPr>
        <w:keepNext w:val="0"/>
        <w:keepLines w:val="0"/>
        <w:pageBreakBefore w:val="0"/>
        <w:widowControl w:val="0"/>
        <w:kinsoku/>
        <w:wordWrap/>
        <w:overflowPunct/>
        <w:topLinePunct w:val="0"/>
        <w:autoSpaceDE w:val="0"/>
        <w:autoSpaceDN w:val="0"/>
        <w:bidi w:val="0"/>
        <w:adjustRightInd w:val="0"/>
        <w:snapToGrid/>
        <w:spacing w:line="600" w:lineRule="exact"/>
        <w:textAlignment w:val="auto"/>
        <w:rPr>
          <w:rFonts w:hint="eastAsia" w:ascii="黑体" w:hAnsi="黑体" w:eastAsia="黑体" w:cs="黑体"/>
          <w:b w:val="0"/>
          <w:bCs/>
          <w:color w:val="000000"/>
          <w:kern w:val="0"/>
          <w:sz w:val="32"/>
          <w:szCs w:val="32"/>
          <w:highlight w:val="none"/>
          <w:lang w:val="en-US" w:eastAsia="zh-CN" w:bidi="ar-SA"/>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度政府性基金预算财政拨款收入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万元；年初结转和结余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万元；年末结转和结余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p>
    <w:p w14:paraId="58ABFE3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14:paraId="4A1B5CB1">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sz w:val="32"/>
          <w:szCs w:val="32"/>
        </w:rPr>
      </w:pPr>
      <w:r>
        <w:rPr>
          <w:rFonts w:hint="eastAsia" w:ascii="仿宋_GB2312" w:hAnsi="仿宋_GB2312" w:eastAsia="仿宋_GB2312" w:cs="仿宋_GB2312"/>
          <w:color w:val="000000"/>
          <w:kern w:val="0"/>
          <w:sz w:val="32"/>
          <w:szCs w:val="32"/>
          <w:highlight w:val="none"/>
          <w:lang w:val="en-US" w:eastAsia="zh-CN" w:bidi="ar-SA"/>
        </w:rPr>
        <w:t>2025年度国有资本经营预算财政拨款收入0万元；年初结转和结余0万；支出0万元，</w:t>
      </w:r>
      <w:r>
        <w:rPr>
          <w:rFonts w:hint="eastAsia" w:ascii="仿宋_GB2312" w:hAnsi="仿宋_GB2312" w:eastAsia="仿宋_GB2312" w:cs="仿宋_GB2312"/>
          <w:i w:val="0"/>
          <w:iCs/>
          <w:color w:val="000000" w:themeColor="text1"/>
          <w:kern w:val="0"/>
          <w:sz w:val="32"/>
          <w:szCs w:val="32"/>
          <w:highlight w:val="none"/>
          <w:lang w:val="en-US" w:eastAsia="zh-CN" w:bidi="ar-SA"/>
          <w14:textFill>
            <w14:solidFill>
              <w14:schemeClr w14:val="tx1"/>
            </w14:solidFill>
          </w14:textFill>
        </w:rPr>
        <w:t>其中：基本支出0万元，项目支出0万元</w:t>
      </w:r>
      <w:r>
        <w:rPr>
          <w:rFonts w:hint="eastAsia" w:ascii="仿宋_GB2312" w:hAnsi="仿宋_GB2312" w:eastAsia="仿宋_GB2312" w:cs="仿宋_GB2312"/>
          <w:color w:val="000000"/>
          <w:kern w:val="0"/>
          <w:sz w:val="32"/>
          <w:szCs w:val="32"/>
          <w:highlight w:val="none"/>
          <w:lang w:val="en-US" w:eastAsia="zh-CN" w:bidi="ar-SA"/>
        </w:rPr>
        <w:t>；年末结转和结余0万元。</w:t>
      </w:r>
    </w:p>
    <w:p w14:paraId="030FF43E">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07DA6DB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14:paraId="0EF84D35">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度“三公”经费财政拨款支出预算为</w:t>
      </w:r>
      <w:r>
        <w:rPr>
          <w:rFonts w:hint="eastAsia" w:ascii="Times New Roman" w:hAnsi="Times New Roman" w:eastAsia="仿宋_GB2312" w:cs="Times New Roman"/>
          <w:sz w:val="32"/>
          <w:szCs w:val="32"/>
          <w:lang w:val="en-US" w:eastAsia="zh-CN"/>
        </w:rPr>
        <w:t>46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45.14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98.13</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13.93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44.63</w:t>
      </w:r>
      <w:r>
        <w:rPr>
          <w:rFonts w:ascii="Times New Roman" w:hAnsi="Times New Roman" w:eastAsia="仿宋_GB2312" w:cs="Times New Roman"/>
          <w:sz w:val="32"/>
          <w:szCs w:val="32"/>
        </w:rPr>
        <w:t>%。决算数小于预算数的主要原因是</w:t>
      </w:r>
      <w:r>
        <w:rPr>
          <w:rFonts w:hint="eastAsia" w:ascii="仿宋_GB2312" w:hAnsi="仿宋_GB2312" w:eastAsia="仿宋_GB2312" w:cs="仿宋_GB2312"/>
          <w:sz w:val="32"/>
          <w:szCs w:val="32"/>
          <w:lang w:eastAsia="zh-CN"/>
        </w:rPr>
        <w:t>响应政府号召，经费压减，节约开支</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eastAsia="zh-CN"/>
        </w:rPr>
        <w:t>增加了经开区路灯所转隶</w:t>
      </w:r>
      <w:r>
        <w:rPr>
          <w:rFonts w:hint="eastAsia" w:ascii="Times New Roman" w:hAnsi="Times New Roman" w:eastAsia="仿宋_GB2312" w:cs="Times New Roman"/>
          <w:sz w:val="32"/>
          <w:szCs w:val="32"/>
          <w:lang w:val="en-US" w:eastAsia="zh-CN"/>
        </w:rPr>
        <w:t>5台公务用车的支出</w:t>
      </w:r>
      <w:r>
        <w:rPr>
          <w:rFonts w:ascii="Times New Roman" w:hAnsi="Times New Roman" w:eastAsia="仿宋_GB2312" w:cs="Times New Roman"/>
          <w:sz w:val="32"/>
          <w:szCs w:val="32"/>
        </w:rPr>
        <w:t>。</w:t>
      </w:r>
    </w:p>
    <w:p w14:paraId="3872866E">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14:paraId="19F0ABCF">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color w:val="auto"/>
          <w:kern w:val="0"/>
          <w:sz w:val="32"/>
          <w:szCs w:val="32"/>
          <w:lang w:val="en-US" w:eastAsia="zh-CN" w:bidi="ar-SA"/>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于预算数的主要原因是</w:t>
      </w:r>
      <w:r>
        <w:rPr>
          <w:rFonts w:hint="eastAsia" w:ascii="仿宋_GB2312" w:hAnsi="仿宋_GB2312" w:eastAsia="仿宋_GB2312" w:cs="仿宋_GB2312"/>
          <w:b w:val="0"/>
          <w:bCs/>
          <w:color w:val="auto"/>
          <w:kern w:val="0"/>
          <w:sz w:val="32"/>
          <w:szCs w:val="32"/>
          <w:lang w:val="en-US" w:eastAsia="zh-CN" w:bidi="ar-SA"/>
        </w:rPr>
        <w:t>我单位严格按预算执行决算；与上年一致，无增减变动，主要原因是未安排因公出国（境）活动。2025年度安排因公出国（境）团组0个，累计0人次。</w:t>
      </w:r>
    </w:p>
    <w:p w14:paraId="68FDE59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13.92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44.78</w:t>
      </w:r>
      <w:r>
        <w:rPr>
          <w:rFonts w:ascii="Times New Roman" w:hAnsi="Times New Roman" w:eastAsia="仿宋_GB2312" w:cs="Times New Roman"/>
          <w:sz w:val="32"/>
          <w:szCs w:val="32"/>
        </w:rPr>
        <w:t>%。其中：</w:t>
      </w:r>
    </w:p>
    <w:p w14:paraId="719C8BEB">
      <w:pPr>
        <w:pStyle w:val="14"/>
        <w:overflowPunct w:val="0"/>
        <w:autoSpaceDE/>
        <w:autoSpaceDN/>
        <w:spacing w:line="600" w:lineRule="exact"/>
        <w:ind w:firstLine="640" w:firstLineChars="200"/>
        <w:jc w:val="both"/>
        <w:rPr>
          <w:rFonts w:hint="eastAsia" w:ascii="仿宋_GB2312" w:hAnsi="仿宋_GB2312" w:eastAsia="仿宋_GB2312" w:cs="仿宋_GB2312"/>
          <w:b w:val="0"/>
          <w:bCs/>
          <w:color w:val="000000" w:themeColor="text1"/>
          <w:kern w:val="0"/>
          <w:sz w:val="32"/>
          <w:szCs w:val="32"/>
          <w:lang w:val="en-US" w:eastAsia="zh-CN" w:bidi="ar-SA"/>
          <w14:textFill>
            <w14:solidFill>
              <w14:schemeClr w14:val="tx1"/>
            </w14:solidFill>
          </w14:textFill>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仿宋_GB2312" w:hAnsi="仿宋_GB2312" w:eastAsia="仿宋_GB2312" w:cs="仿宋_GB2312"/>
          <w:color w:val="000000" w:themeColor="text1"/>
          <w:sz w:val="32"/>
          <w:szCs w:val="32"/>
          <w14:textFill>
            <w14:solidFill>
              <w14:schemeClr w14:val="tx1"/>
            </w14:solidFill>
          </w14:textFill>
        </w:rPr>
        <w:t>决算数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等</w:t>
      </w:r>
      <w:r>
        <w:rPr>
          <w:rFonts w:hint="eastAsia" w:ascii="仿宋_GB2312" w:hAnsi="仿宋_GB2312" w:eastAsia="仿宋_GB2312" w:cs="仿宋_GB2312"/>
          <w:color w:val="000000" w:themeColor="text1"/>
          <w:sz w:val="32"/>
          <w:szCs w:val="32"/>
          <w14:textFill>
            <w14:solidFill>
              <w14:schemeClr w14:val="tx1"/>
            </w14:solidFill>
          </w14:textFill>
        </w:rPr>
        <w:t>于预算数的主要原因是</w:t>
      </w:r>
      <w:r>
        <w:rPr>
          <w:rFonts w:hint="eastAsia" w:ascii="仿宋_GB2312" w:hAnsi="仿宋_GB2312" w:eastAsia="仿宋_GB2312" w:cs="仿宋_GB2312"/>
          <w:b w:val="0"/>
          <w:bCs/>
          <w:color w:val="000000" w:themeColor="text1"/>
          <w:kern w:val="0"/>
          <w:sz w:val="32"/>
          <w:szCs w:val="32"/>
          <w:lang w:val="en-US" w:eastAsia="zh-CN" w:bidi="ar-SA"/>
          <w14:textFill>
            <w14:solidFill>
              <w14:schemeClr w14:val="tx1"/>
            </w14:solidFill>
          </w14:textFill>
        </w:rPr>
        <w:t>我单位严格按预算执行决算</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b w:val="0"/>
          <w:bCs/>
          <w:color w:val="000000" w:themeColor="text1"/>
          <w:kern w:val="0"/>
          <w:sz w:val="32"/>
          <w:szCs w:val="32"/>
          <w:lang w:val="en-US" w:eastAsia="zh-CN" w:bidi="ar-SA"/>
          <w14:textFill>
            <w14:solidFill>
              <w14:schemeClr w14:val="tx1"/>
            </w14:solidFill>
          </w14:textFill>
        </w:rPr>
        <w:t>与上年一致，无增减变动，主要原因是当年没有购置公务用车。本单位更新公务用车0辆。</w:t>
      </w:r>
    </w:p>
    <w:p w14:paraId="5F314E9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45</w:t>
      </w:r>
      <w:r>
        <w:rPr>
          <w:rFonts w:ascii="Times New Roman" w:hAnsi="Times New Roman" w:eastAsia="仿宋_GB2312" w:cs="Times New Roman"/>
          <w:sz w:val="32"/>
          <w:szCs w:val="32"/>
        </w:rPr>
        <w:t>万元，</w:t>
      </w:r>
      <w:r>
        <w:rPr>
          <w:rFonts w:hint="eastAsia" w:ascii="仿宋_GB2312" w:hAnsi="仿宋_GB2312" w:eastAsia="仿宋_GB2312" w:cs="仿宋_GB2312"/>
          <w:sz w:val="32"/>
          <w:szCs w:val="32"/>
          <w:highlight w:val="none"/>
          <w:lang w:val="en-US" w:eastAsia="zh-CN"/>
        </w:rPr>
        <w:t>主要是路灯及亮化维护作业专用车辆运行维护经费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13.92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44.78</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仿宋_GB2312" w:hAnsi="仿宋_GB2312" w:eastAsia="仿宋_GB2312" w:cs="仿宋_GB2312"/>
          <w:b w:val="0"/>
          <w:bCs/>
          <w:color w:val="auto"/>
          <w:kern w:val="0"/>
          <w:sz w:val="32"/>
          <w:szCs w:val="32"/>
          <w:lang w:val="en-US" w:eastAsia="zh-CN" w:bidi="ar-SA"/>
        </w:rPr>
        <w:t>我单位严格按预算执行决算</w:t>
      </w:r>
      <w:r>
        <w:rPr>
          <w:rFonts w:hint="eastAsia" w:ascii="Times New Roman" w:hAnsi="Times New Roman" w:eastAsia="仿宋_GB2312" w:cs="Times New Roman"/>
          <w:sz w:val="32"/>
          <w:szCs w:val="32"/>
          <w:lang w:eastAsia="zh-CN"/>
        </w:rPr>
        <w:t>。决算数大于上年数的主要原因是增加了经开区路灯所转隶</w:t>
      </w:r>
      <w:r>
        <w:rPr>
          <w:rFonts w:hint="eastAsia" w:ascii="Times New Roman" w:hAnsi="Times New Roman" w:eastAsia="仿宋_GB2312" w:cs="Times New Roman"/>
          <w:sz w:val="32"/>
          <w:szCs w:val="32"/>
          <w:lang w:val="en-US" w:eastAsia="zh-CN"/>
        </w:rPr>
        <w:t>5台公务用车。</w:t>
      </w:r>
      <w:r>
        <w:rPr>
          <w:rFonts w:ascii="Times New Roman" w:hAnsi="Times New Roman" w:eastAsia="仿宋_GB2312" w:cs="Times New Roman"/>
          <w:sz w:val="32"/>
          <w:szCs w:val="32"/>
          <w:highlight w:val="none"/>
        </w:rPr>
        <w:t>截止</w:t>
      </w:r>
      <w:r>
        <w:rPr>
          <w:rFonts w:hint="eastAsia" w:ascii="Times New Roman" w:hAnsi="Times New Roman" w:eastAsia="仿宋_GB2312" w:cs="Times New Roman"/>
          <w:sz w:val="32"/>
          <w:szCs w:val="32"/>
          <w:highlight w:val="none"/>
          <w:lang w:eastAsia="zh-CN"/>
        </w:rPr>
        <w:t>到</w:t>
      </w:r>
      <w:r>
        <w:rPr>
          <w:rFonts w:ascii="Times New Roman" w:hAnsi="Times New Roman" w:eastAsia="仿宋_GB2312" w:cs="Times New Roman"/>
          <w:sz w:val="32"/>
          <w:szCs w:val="32"/>
        </w:rPr>
        <w:t>20</w:t>
      </w:r>
      <w:r>
        <w:rPr>
          <w:rFonts w:hint="eastAsia" w:ascii="Times New Roman" w:hAnsi="Times New Roman" w:eastAsia="仿宋_GB2312" w:cs="Times New Roman"/>
          <w:sz w:val="32"/>
          <w:szCs w:val="32"/>
          <w:lang w:val="en-US" w:eastAsia="zh-CN"/>
        </w:rPr>
        <w:t>25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辆。</w:t>
      </w:r>
    </w:p>
    <w:p w14:paraId="19D1B08D">
      <w:pPr>
        <w:keepNext w:val="0"/>
        <w:keepLines w:val="0"/>
        <w:pageBreakBefore w:val="0"/>
        <w:widowControl w:val="0"/>
        <w:numPr>
          <w:numId w:val="0"/>
        </w:numPr>
        <w:kinsoku/>
        <w:wordWrap/>
        <w:overflowPunct/>
        <w:topLinePunct w:val="0"/>
        <w:autoSpaceDE/>
        <w:autoSpaceDN/>
        <w:bidi w:val="0"/>
        <w:adjustRightInd/>
        <w:snapToGrid/>
        <w:ind w:firstLine="640" w:firstLineChars="200"/>
        <w:textAlignment w:val="auto"/>
        <w:rPr>
          <w:rFonts w:hint="eastAsia" w:ascii="Times New Roman" w:hAnsi="Times New Roman" w:eastAsia="仿宋_GB2312"/>
          <w:b/>
          <w:color w:val="auto"/>
          <w:sz w:val="32"/>
          <w:szCs w:val="32"/>
          <w:lang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0.01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7.69</w:t>
      </w:r>
      <w:r>
        <w:rPr>
          <w:rFonts w:ascii="Times New Roman" w:hAnsi="Times New Roman" w:eastAsia="仿宋_GB2312" w:cs="Times New Roman"/>
          <w:sz w:val="32"/>
          <w:szCs w:val="32"/>
        </w:rPr>
        <w:t>%。决算数小于预算数的主要原因是</w:t>
      </w:r>
      <w:r>
        <w:rPr>
          <w:rFonts w:hint="eastAsia" w:ascii="仿宋_GB2312" w:hAnsi="仿宋_GB2312" w:eastAsia="仿宋_GB2312" w:cs="仿宋_GB2312"/>
          <w:i w:val="0"/>
          <w:iCs w:val="0"/>
          <w:caps w:val="0"/>
          <w:color w:val="auto"/>
          <w:spacing w:val="0"/>
          <w:sz w:val="32"/>
          <w:szCs w:val="32"/>
        </w:rPr>
        <w:t>严格执行中央八项规定</w:t>
      </w:r>
      <w:r>
        <w:rPr>
          <w:rFonts w:ascii="Times New Roman" w:hAnsi="Times New Roman" w:eastAsia="仿宋_GB2312" w:cs="Times New Roman"/>
          <w:sz w:val="32"/>
          <w:szCs w:val="32"/>
        </w:rPr>
        <w:t>。决算数大于上年数的主要原因是</w:t>
      </w:r>
      <w:r>
        <w:rPr>
          <w:rFonts w:hint="eastAsia" w:ascii="仿宋_GB2312" w:hAnsi="仿宋_GB2312" w:eastAsia="仿宋_GB2312" w:cs="仿宋_GB2312"/>
          <w:i w:val="0"/>
          <w:iCs w:val="0"/>
          <w:caps w:val="0"/>
          <w:color w:val="auto"/>
          <w:spacing w:val="0"/>
          <w:sz w:val="32"/>
          <w:szCs w:val="32"/>
        </w:rPr>
        <w:t>严格执行中央八项规定</w:t>
      </w:r>
      <w:r>
        <w:rPr>
          <w:rFonts w:hint="eastAsia" w:ascii="仿宋_GB2312" w:hAnsi="仿宋_GB2312" w:eastAsia="仿宋_GB2312" w:cs="仿宋_GB2312"/>
          <w:i w:val="0"/>
          <w:iCs w:val="0"/>
          <w:caps w:val="0"/>
          <w:color w:val="auto"/>
          <w:spacing w:val="0"/>
          <w:sz w:val="32"/>
          <w:szCs w:val="32"/>
          <w:lang w:eastAsia="zh-CN"/>
        </w:rPr>
        <w:t>，来访人数有所增加</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主要是株洲市城市管理局来岳开展城市照明安全运行及规范化管理调研</w:t>
      </w:r>
      <w:r>
        <w:rPr>
          <w:rFonts w:ascii="Times New Roman" w:hAnsi="Times New Roman" w:eastAsia="仿宋_GB2312" w:cs="Times New Roman"/>
          <w:sz w:val="32"/>
          <w:szCs w:val="32"/>
        </w:rPr>
        <w:t>发生的接待支出。</w:t>
      </w:r>
    </w:p>
    <w:p w14:paraId="4C136E52">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28E6C8A3">
      <w:pPr>
        <w:pStyle w:val="14"/>
        <w:ind w:firstLine="640" w:firstLineChars="200"/>
        <w:rPr>
          <w:rFonts w:ascii="Times New Roman" w:hAnsi="Times New Roman" w:eastAsia="仿宋_GB2312"/>
          <w:sz w:val="32"/>
          <w:szCs w:val="32"/>
        </w:rPr>
      </w:pPr>
      <w:r>
        <w:rPr>
          <w:rFonts w:hint="eastAsia" w:ascii="仿宋_GB2312" w:hAnsi="仿宋_GB2312" w:eastAsia="仿宋_GB2312" w:cs="仿宋_GB2312"/>
          <w:color w:val="auto"/>
          <w:sz w:val="32"/>
          <w:szCs w:val="32"/>
        </w:rPr>
        <w:t>本</w:t>
      </w:r>
      <w:r>
        <w:rPr>
          <w:rFonts w:hint="eastAsia" w:ascii="仿宋_GB2312" w:hAnsi="仿宋_GB2312" w:eastAsia="仿宋_GB2312" w:cs="仿宋_GB2312"/>
          <w:i w:val="0"/>
          <w:iCs/>
          <w:color w:val="auto"/>
          <w:sz w:val="32"/>
          <w:szCs w:val="32"/>
          <w:lang w:val="en-US" w:eastAsia="zh-CN"/>
        </w:rPr>
        <w:t>单位为全额拨款事业单位，按照机关运行经费的口径，本年度机关运行经费为0。</w:t>
      </w:r>
    </w:p>
    <w:p w14:paraId="691D1605">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42828136">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val="0"/>
          <w:iCs w:val="0"/>
          <w:color w:val="FF0000"/>
          <w:kern w:val="0"/>
          <w:sz w:val="40"/>
          <w:szCs w:val="40"/>
          <w:lang w:val="en-US" w:eastAsia="zh-CN" w:bidi="ar-SA"/>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年度，本单位无会议费的预算和支出决算数；本单位无培训费的预算和支出决算数；本单位无举办节庆、晚会、论坛、赛事等活动的预算和支出决算数。</w:t>
      </w:r>
    </w:p>
    <w:p w14:paraId="6DE8439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18353181">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度政府采购支出总额</w:t>
      </w:r>
      <w:r>
        <w:rPr>
          <w:rFonts w:hint="eastAsia" w:ascii="仿宋_GB2312" w:hAnsi="仿宋_GB2312" w:eastAsia="仿宋_GB2312" w:cs="仿宋_GB2312"/>
          <w:sz w:val="32"/>
          <w:szCs w:val="32"/>
          <w:lang w:val="en-US" w:eastAsia="zh-CN"/>
        </w:rPr>
        <w:t>568.34</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297.23</w:t>
      </w:r>
      <w:r>
        <w:rPr>
          <w:rFonts w:hint="eastAsia" w:ascii="仿宋_GB2312" w:hAnsi="仿宋_GB2312" w:eastAsia="仿宋_GB2312" w:cs="仿宋_GB2312"/>
          <w:sz w:val="32"/>
          <w:szCs w:val="32"/>
        </w:rPr>
        <w:t xml:space="preserve"> 万元、政府采购工程支出</w:t>
      </w:r>
      <w:r>
        <w:rPr>
          <w:rFonts w:hint="eastAsia" w:ascii="仿宋_GB2312" w:hAnsi="仿宋_GB2312" w:eastAsia="仿宋_GB2312" w:cs="仿宋_GB2312"/>
          <w:sz w:val="32"/>
          <w:szCs w:val="32"/>
          <w:lang w:val="en-US" w:eastAsia="zh-CN"/>
        </w:rPr>
        <w:t>80.53</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190.58</w:t>
      </w:r>
      <w:r>
        <w:rPr>
          <w:rFonts w:hint="eastAsia" w:ascii="仿宋_GB2312" w:hAnsi="仿宋_GB2312" w:eastAsia="仿宋_GB2312" w:cs="仿宋_GB2312"/>
          <w:sz w:val="32"/>
          <w:szCs w:val="32"/>
        </w:rPr>
        <w:t>万元。授予中小企业合同金额</w:t>
      </w:r>
      <w:r>
        <w:rPr>
          <w:rFonts w:hint="eastAsia" w:ascii="仿宋_GB2312" w:hAnsi="仿宋_GB2312" w:eastAsia="仿宋_GB2312" w:cs="仿宋_GB2312"/>
          <w:sz w:val="32"/>
          <w:szCs w:val="32"/>
          <w:lang w:val="en-US" w:eastAsia="zh-CN"/>
        </w:rPr>
        <w:t>568.34</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568.34</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eastAsia="zh-CN"/>
        </w:rPr>
        <w:t>授予中小企业合同金额</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%。货物采购授予中小</w:t>
      </w:r>
      <w:r>
        <w:rPr>
          <w:rFonts w:hint="eastAsia" w:ascii="Times New Roman" w:hAnsi="Times New Roman" w:eastAsia="仿宋_GB2312"/>
          <w:color w:val="auto"/>
          <w:sz w:val="32"/>
          <w:szCs w:val="32"/>
        </w:rPr>
        <w:t>企业合同金</w:t>
      </w:r>
      <w:r>
        <w:rPr>
          <w:rFonts w:hint="eastAsia" w:ascii="仿宋_GB2312" w:hAnsi="仿宋_GB2312" w:eastAsia="仿宋_GB2312" w:cs="仿宋_GB2312"/>
          <w:color w:val="auto"/>
          <w:sz w:val="32"/>
          <w:szCs w:val="32"/>
        </w:rPr>
        <w:t>额占货物支出金额的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%，工程采购授予中小企业合同金额占工程支出金额的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%，服务采购授予中小企业合同金额占服务支出金额的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w:t>
      </w:r>
    </w:p>
    <w:p w14:paraId="2CDC2E43">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08748F04">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color w:val="auto"/>
          <w:sz w:val="32"/>
          <w:szCs w:val="32"/>
          <w:lang w:eastAsia="zh-CN"/>
        </w:rPr>
        <w:t>2025年</w:t>
      </w:r>
      <w:r>
        <w:rPr>
          <w:rFonts w:hint="eastAsia" w:ascii="仿宋_GB2312" w:hAnsi="仿宋_GB2312" w:eastAsia="仿宋_GB2312" w:cs="仿宋_GB2312"/>
          <w:color w:val="auto"/>
          <w:sz w:val="32"/>
          <w:szCs w:val="32"/>
        </w:rPr>
        <w:t>12月31日，</w:t>
      </w:r>
      <w:r>
        <w:rPr>
          <w:rFonts w:hint="eastAsia" w:ascii="仿宋_GB2312" w:hAnsi="仿宋_GB2312" w:eastAsia="仿宋_GB2312" w:cs="仿宋_GB2312"/>
          <w:color w:val="auto"/>
          <w:sz w:val="32"/>
          <w:szCs w:val="32"/>
          <w:lang w:eastAsia="zh-CN"/>
        </w:rPr>
        <w:t>本单位</w:t>
      </w:r>
      <w:r>
        <w:rPr>
          <w:rFonts w:hint="eastAsia" w:ascii="仿宋_GB2312" w:hAnsi="仿宋_GB2312" w:eastAsia="仿宋_GB2312" w:cs="仿宋_GB2312"/>
          <w:color w:val="auto"/>
          <w:sz w:val="32"/>
          <w:szCs w:val="32"/>
        </w:rPr>
        <w:t>共有车辆</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辆，其他用车主要是</w:t>
      </w:r>
      <w:r>
        <w:rPr>
          <w:rFonts w:hint="eastAsia" w:ascii="仿宋_GB2312" w:hAnsi="仿宋_GB2312" w:eastAsia="仿宋_GB2312" w:cs="仿宋_GB2312"/>
          <w:i w:val="0"/>
          <w:iCs w:val="0"/>
          <w:caps w:val="0"/>
          <w:color w:val="000000"/>
          <w:spacing w:val="0"/>
          <w:sz w:val="32"/>
          <w:szCs w:val="32"/>
        </w:rPr>
        <w:t>照明设施维护管理</w:t>
      </w:r>
      <w:r>
        <w:rPr>
          <w:rFonts w:hint="eastAsia" w:ascii="仿宋_GB2312" w:hAnsi="仿宋_GB2312" w:eastAsia="仿宋_GB2312" w:cs="仿宋_GB2312"/>
          <w:i w:val="0"/>
          <w:iCs w:val="0"/>
          <w:caps w:val="0"/>
          <w:color w:val="000000"/>
          <w:spacing w:val="0"/>
          <w:sz w:val="32"/>
          <w:szCs w:val="32"/>
          <w:lang w:val="en-US" w:eastAsia="zh-CN"/>
        </w:rPr>
        <w:t>生产用车</w:t>
      </w:r>
      <w:r>
        <w:rPr>
          <w:rFonts w:hint="eastAsia" w:ascii="仿宋_GB2312" w:hAnsi="仿宋_GB2312" w:eastAsia="仿宋_GB2312" w:cs="仿宋_GB2312"/>
          <w:color w:val="auto"/>
          <w:sz w:val="32"/>
          <w:szCs w:val="32"/>
        </w:rPr>
        <w:t>；单位价值100万元以上设备</w:t>
      </w:r>
      <w:r>
        <w:rPr>
          <w:rFonts w:hint="eastAsia" w:ascii="仿宋_GB2312" w:hAnsi="仿宋_GB2312" w:eastAsia="仿宋_GB2312" w:cs="仿宋_GB2312"/>
          <w:color w:val="auto"/>
          <w:sz w:val="32"/>
          <w:szCs w:val="32"/>
          <w:lang w:eastAsia="zh-CN"/>
        </w:rPr>
        <w:t>（不含车辆）</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台（套）。</w:t>
      </w:r>
    </w:p>
    <w:p w14:paraId="2BDB4C35">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14:paraId="62CB0C02">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11B2AE4C">
      <w:pPr>
        <w:overflowPunct w:val="0"/>
        <w:spacing w:line="600" w:lineRule="exact"/>
        <w:ind w:firstLine="640" w:firstLineChars="200"/>
        <w:rPr>
          <w:rFonts w:hint="eastAsia"/>
          <w:lang w:val="en-US" w:eastAsia="zh-CN"/>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3189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3189</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hint="eastAsia" w:ascii="仿宋_GB2312" w:hAnsi="仿宋_GB2312" w:eastAsia="仿宋_GB2312" w:cs="仿宋_GB2312"/>
          <w:b w:val="0"/>
          <w:bCs w:val="0"/>
          <w:color w:val="000000"/>
          <w:kern w:val="0"/>
          <w:sz w:val="32"/>
          <w:szCs w:val="32"/>
          <w:lang w:val="en-US" w:eastAsia="zh-CN" w:bidi="ar-SA"/>
        </w:rPr>
        <w:t>（由于政府性基金预算项目支出总额为0，故无法计算占政府性基金预算项目支出总额比重）</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hint="eastAsia" w:ascii="仿宋_GB2312" w:hAnsi="仿宋_GB2312" w:eastAsia="仿宋_GB2312" w:cs="仿宋_GB2312"/>
          <w:b w:val="0"/>
          <w:bCs w:val="0"/>
          <w:color w:val="000000"/>
          <w:kern w:val="0"/>
          <w:sz w:val="32"/>
          <w:szCs w:val="32"/>
          <w:lang w:val="en-US" w:eastAsia="zh-CN" w:bidi="ar-SA"/>
        </w:rPr>
        <w:t>（由于国有资本经营预算项目支出总额为0，故无法计算占国有资本经营预算项目支出总额的比重）</w:t>
      </w:r>
      <w:r>
        <w:rPr>
          <w:rFonts w:ascii="Times New Roman" w:hAnsi="Times New Roman" w:eastAsia="仿宋_GB2312" w:cs="Times New Roman"/>
          <w:kern w:val="0"/>
          <w:sz w:val="32"/>
          <w:szCs w:val="32"/>
        </w:rPr>
        <w:t>；</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 xml:space="preserve"> 万元</w:t>
      </w:r>
      <w:r>
        <w:rPr>
          <w:rFonts w:hint="eastAsia" w:ascii="仿宋_GB2312" w:hAnsi="仿宋_GB2312" w:eastAsia="仿宋_GB2312" w:cs="仿宋_GB2312"/>
          <w:b w:val="0"/>
          <w:bCs w:val="0"/>
          <w:color w:val="000000"/>
          <w:kern w:val="0"/>
          <w:sz w:val="32"/>
          <w:szCs w:val="32"/>
          <w:lang w:val="en-US" w:eastAsia="zh-CN" w:bidi="ar-SA"/>
        </w:rPr>
        <w:t>（由于</w:t>
      </w:r>
      <w:r>
        <w:rPr>
          <w:rFonts w:ascii="Times New Roman" w:hAnsi="Times New Roman" w:eastAsia="仿宋_GB2312" w:cs="Times New Roman"/>
          <w:kern w:val="0"/>
          <w:sz w:val="32"/>
          <w:szCs w:val="32"/>
          <w:highlight w:val="none"/>
        </w:rPr>
        <w:t>社会保险基金</w:t>
      </w:r>
      <w:r>
        <w:rPr>
          <w:rFonts w:hint="eastAsia" w:ascii="仿宋_GB2312" w:hAnsi="仿宋_GB2312" w:eastAsia="仿宋_GB2312" w:cs="仿宋_GB2312"/>
          <w:b w:val="0"/>
          <w:bCs w:val="0"/>
          <w:color w:val="000000"/>
          <w:kern w:val="0"/>
          <w:sz w:val="32"/>
          <w:szCs w:val="32"/>
          <w:lang w:val="en-US" w:eastAsia="zh-CN" w:bidi="ar-SA"/>
        </w:rPr>
        <w:t>预算项目支出总额为0，故无法计算占国有资本经营预算项目支出总额的比重）</w:t>
      </w:r>
      <w:r>
        <w:rPr>
          <w:rFonts w:ascii="Times New Roman" w:hAnsi="Times New Roman" w:eastAsia="仿宋_GB2312" w:cs="Times New Roman"/>
          <w:kern w:val="0"/>
          <w:sz w:val="32"/>
          <w:szCs w:val="32"/>
          <w:highlight w:val="none"/>
        </w:rPr>
        <w:t>。</w:t>
      </w:r>
    </w:p>
    <w:p w14:paraId="5D57DFFA">
      <w:pPr>
        <w:overflowPunct w:val="0"/>
        <w:spacing w:line="600" w:lineRule="exact"/>
        <w:ind w:firstLine="640" w:firstLineChars="200"/>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b/>
          <w:bCs/>
          <w:kern w:val="0"/>
          <w:sz w:val="32"/>
          <w:szCs w:val="32"/>
        </w:rPr>
        <w:t>部门评价开展情况。</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本单位为二级预算单位，部门评价开展情况可详见上级部门决算公开说明。</w:t>
      </w:r>
    </w:p>
    <w:p w14:paraId="3E7E450E">
      <w:pPr>
        <w:overflowPunct w:val="0"/>
        <w:spacing w:line="600" w:lineRule="exact"/>
        <w:ind w:firstLine="640" w:firstLineChars="200"/>
        <w:rPr>
          <w:rFonts w:ascii="Times New Roman" w:hAnsi="Times New Roman" w:eastAsia="楷体" w:cs="Times New Roman"/>
          <w:b/>
          <w:bCs/>
          <w:sz w:val="32"/>
          <w:szCs w:val="32"/>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b/>
          <w:bCs/>
          <w:kern w:val="0"/>
          <w:sz w:val="32"/>
          <w:szCs w:val="32"/>
        </w:rPr>
        <w:t>事前绩效评估开展情况。</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本单位为二级预算单位，事前绩效评估开展情况可详见上级部门决算公开说明。</w:t>
      </w:r>
    </w:p>
    <w:p w14:paraId="2E4554DD">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500EC269">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ascii="Times New Roman" w:hAnsi="Times New Roman" w:eastAsia="仿宋_GB2312" w:cs="Times New Roman"/>
          <w:sz w:val="32"/>
          <w:szCs w:val="32"/>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b w:val="0"/>
          <w:bCs w:val="0"/>
          <w:color w:val="000000" w:themeColor="text1"/>
          <w:kern w:val="0"/>
          <w:sz w:val="32"/>
          <w:szCs w:val="32"/>
          <w:lang w:eastAsia="zh-CN"/>
          <w14:textFill>
            <w14:solidFill>
              <w14:schemeClr w14:val="tx1"/>
            </w14:solidFill>
          </w14:textFill>
        </w:rPr>
        <w:t>2025年</w:t>
      </w:r>
      <w:r>
        <w:rPr>
          <w:rFonts w:ascii="Times New Roman" w:hAnsi="Times New Roman" w:eastAsia="仿宋_GB2312" w:cs="Times New Roman"/>
          <w:b w:val="0"/>
          <w:bCs w:val="0"/>
          <w:color w:val="000000" w:themeColor="text1"/>
          <w:kern w:val="0"/>
          <w:sz w:val="32"/>
          <w:szCs w:val="32"/>
          <w14:textFill>
            <w14:solidFill>
              <w14:schemeClr w14:val="tx1"/>
            </w14:solidFill>
          </w14:textFill>
        </w:rPr>
        <w:t>度本部门（单位）整体支出</w:t>
      </w:r>
      <w:r>
        <w:rPr>
          <w:rFonts w:ascii="Times New Roman" w:hAnsi="Times New Roman" w:eastAsia="仿宋_GB2312" w:cs="Times New Roman"/>
          <w:b w:val="0"/>
          <w:bCs w:val="0"/>
          <w:color w:val="000000" w:themeColor="text1"/>
          <w:sz w:val="32"/>
          <w:szCs w:val="32"/>
          <w14:textFill>
            <w14:solidFill>
              <w14:schemeClr w14:val="tx1"/>
            </w14:solidFill>
          </w14:textFill>
        </w:rPr>
        <w:t>全年预算数</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4780.81</w:t>
      </w:r>
      <w:r>
        <w:rPr>
          <w:rFonts w:ascii="Times New Roman" w:hAnsi="Times New Roman" w:eastAsia="仿宋_GB2312" w:cs="Times New Roman"/>
          <w:b w:val="0"/>
          <w:bCs w:val="0"/>
          <w:color w:val="000000" w:themeColor="text1"/>
          <w:sz w:val="32"/>
          <w:szCs w:val="32"/>
          <w14:textFill>
            <w14:solidFill>
              <w14:schemeClr w14:val="tx1"/>
            </w14:solidFill>
          </w14:textFill>
        </w:rPr>
        <w:t>万元，执行数</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4780.81</w:t>
      </w:r>
      <w:r>
        <w:rPr>
          <w:rFonts w:ascii="Times New Roman" w:hAnsi="Times New Roman" w:eastAsia="仿宋_GB2312" w:cs="Times New Roman"/>
          <w:b w:val="0"/>
          <w:bCs w:val="0"/>
          <w:color w:val="000000" w:themeColor="text1"/>
          <w:sz w:val="32"/>
          <w:szCs w:val="32"/>
          <w14:textFill>
            <w14:solidFill>
              <w14:schemeClr w14:val="tx1"/>
            </w14:solidFill>
          </w14:textFill>
        </w:rPr>
        <w:t>万元，完成预算的</w:t>
      </w:r>
      <w:r>
        <w:rPr>
          <w:rFonts w:hint="eastAsia" w:ascii="Times New Roman" w:hAnsi="Times New Roman" w:eastAsia="仿宋_GB2312" w:cs="Times New Roman"/>
          <w:b w:val="0"/>
          <w:bCs w:val="0"/>
          <w:color w:val="000000" w:themeColor="text1"/>
          <w:sz w:val="32"/>
          <w:szCs w:val="32"/>
          <w:lang w:val="en-US" w:eastAsia="zh-CN"/>
          <w14:textFill>
            <w14:solidFill>
              <w14:schemeClr w14:val="tx1"/>
            </w14:solidFill>
          </w14:textFill>
        </w:rPr>
        <w:t>100</w:t>
      </w:r>
      <w:r>
        <w:rPr>
          <w:rFonts w:ascii="Times New Roman" w:hAnsi="Times New Roman" w:eastAsia="仿宋_GB2312" w:cs="Times New Roman"/>
          <w:b w:val="0"/>
          <w:bCs w:val="0"/>
          <w:color w:val="000000" w:themeColor="text1"/>
          <w:sz w:val="32"/>
          <w:szCs w:val="32"/>
          <w14:textFill>
            <w14:solidFill>
              <w14:schemeClr w14:val="tx1"/>
            </w14:solidFill>
          </w14:textFill>
        </w:rPr>
        <w:t>%</w:t>
      </w:r>
      <w:r>
        <w:rPr>
          <w:rFonts w:ascii="Times New Roman" w:hAnsi="Times New Roman" w:eastAsia="仿宋_GB2312" w:cs="Times New Roman"/>
          <w:b w:val="0"/>
          <w:bCs w:val="0"/>
          <w:color w:val="000000" w:themeColor="text1"/>
          <w:kern w:val="0"/>
          <w:sz w:val="32"/>
          <w:szCs w:val="32"/>
          <w14:textFill>
            <w14:solidFill>
              <w14:schemeClr w14:val="tx1"/>
            </w14:solidFill>
          </w14:textFill>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9.9</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w:t>
      </w:r>
    </w:p>
    <w:p w14:paraId="38BBFC71">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lang w:val="en-US" w:eastAsia="zh-CN"/>
        </w:rPr>
        <w:t>目标1：</w:t>
      </w:r>
      <w:r>
        <w:rPr>
          <w:rFonts w:hint="eastAsia" w:ascii="仿宋_GB2312" w:hAnsi="仿宋_GB2312" w:eastAsia="仿宋_GB2312" w:cs="仿宋_GB2312"/>
          <w:color w:val="000000"/>
          <w:sz w:val="32"/>
          <w:szCs w:val="32"/>
          <w:highlight w:val="none"/>
        </w:rPr>
        <w:t>不断提高维护管养水平和公共服务意识，保障城区主次干道（26777盏）及小街巷路灯（4229盏）和公用亮化设施（功率4008.26KW）正常运行</w:t>
      </w:r>
      <w:r>
        <w:rPr>
          <w:rFonts w:hint="eastAsia" w:ascii="仿宋_GB2312" w:hAnsi="仿宋_GB2312" w:eastAsia="仿宋_GB2312" w:cs="仿宋_GB2312"/>
          <w:color w:val="000000"/>
          <w:sz w:val="32"/>
          <w:szCs w:val="32"/>
          <w:highlight w:val="none"/>
          <w:lang w:eastAsia="zh-CN"/>
        </w:rPr>
        <w:t>；</w:t>
      </w:r>
    </w:p>
    <w:p w14:paraId="08CC17A2">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lang w:val="en-US" w:eastAsia="zh-CN"/>
        </w:rPr>
        <w:t>目标2：</w:t>
      </w:r>
      <w:r>
        <w:rPr>
          <w:rFonts w:hint="eastAsia" w:ascii="仿宋_GB2312" w:hAnsi="仿宋_GB2312" w:eastAsia="仿宋_GB2312" w:cs="仿宋_GB2312"/>
          <w:color w:val="000000"/>
          <w:sz w:val="32"/>
          <w:szCs w:val="32"/>
          <w:highlight w:val="none"/>
        </w:rPr>
        <w:t>美化、亮化城市，提升岳阳城市形象，方便市民夜间出行，保障夜间道路安全；</w:t>
      </w:r>
    </w:p>
    <w:p w14:paraId="24100560">
      <w:pPr>
        <w:keepNext w:val="0"/>
        <w:keepLines w:val="0"/>
        <w:pageBreakBefore w:val="0"/>
        <w:widowControl/>
        <w:numPr>
          <w:ilvl w:val="0"/>
          <w:numId w:val="0"/>
        </w:numPr>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lang w:val="en-US" w:eastAsia="zh-CN"/>
        </w:rPr>
        <w:t>目标3：</w:t>
      </w:r>
      <w:r>
        <w:rPr>
          <w:rFonts w:hint="eastAsia" w:ascii="仿宋_GB2312" w:hAnsi="仿宋_GB2312" w:eastAsia="仿宋_GB2312" w:cs="仿宋_GB2312"/>
          <w:color w:val="auto"/>
          <w:sz w:val="32"/>
          <w:szCs w:val="32"/>
          <w:highlight w:val="none"/>
        </w:rPr>
        <w:t>指导中心城区夜景亮化方案的设计，新建楼宇亮化方案审批及亮化单位用电量计量管理，协助城区夜景亮化工程的施工检查、竣工验收；</w:t>
      </w:r>
    </w:p>
    <w:p w14:paraId="06B55470">
      <w:pPr>
        <w:pStyle w:val="5"/>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lang w:val="en-US" w:eastAsia="zh-CN"/>
        </w:rPr>
        <w:t>目标4：</w:t>
      </w:r>
      <w:r>
        <w:rPr>
          <w:rFonts w:hint="eastAsia" w:ascii="仿宋_GB2312" w:hAnsi="仿宋_GB2312" w:eastAsia="仿宋_GB2312" w:cs="仿宋_GB2312"/>
          <w:color w:val="000000"/>
          <w:sz w:val="32"/>
          <w:szCs w:val="32"/>
          <w:highlight w:val="none"/>
        </w:rPr>
        <w:t>实施中心城区路灯节能改造，达到节约电力资源，建设生态绿色城市的目标</w:t>
      </w:r>
      <w:r>
        <w:rPr>
          <w:rFonts w:hint="eastAsia" w:ascii="仿宋_GB2312" w:hAnsi="仿宋_GB2312" w:eastAsia="仿宋_GB2312" w:cs="仿宋_GB2312"/>
          <w:color w:val="000000"/>
          <w:sz w:val="32"/>
          <w:szCs w:val="32"/>
          <w:highlight w:val="none"/>
          <w:lang w:eastAsia="zh-CN"/>
        </w:rPr>
        <w:t>。</w:t>
      </w:r>
    </w:p>
    <w:p w14:paraId="416167AF">
      <w:pPr>
        <w:keepNext w:val="0"/>
        <w:keepLines w:val="0"/>
        <w:pageBreakBefore w:val="0"/>
        <w:widowControl/>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目标1完成情况：路灯</w:t>
      </w:r>
      <w:r>
        <w:rPr>
          <w:rFonts w:hint="eastAsia" w:ascii="仿宋_GB2312" w:hAnsi="仿宋_GB2312" w:eastAsia="仿宋_GB2312" w:cs="仿宋_GB2312"/>
          <w:color w:val="000000"/>
          <w:sz w:val="32"/>
          <w:szCs w:val="32"/>
          <w:lang w:eastAsia="zh-CN"/>
        </w:rPr>
        <w:t>维护管养水平和公共服务意识不断提高，保障</w:t>
      </w:r>
      <w:r>
        <w:rPr>
          <w:rFonts w:hint="eastAsia" w:ascii="仿宋_GB2312" w:hAnsi="仿宋_GB2312" w:eastAsia="仿宋_GB2312" w:cs="仿宋_GB2312"/>
          <w:color w:val="000000"/>
          <w:sz w:val="32"/>
          <w:szCs w:val="32"/>
          <w:lang w:val="en-US" w:eastAsia="zh-CN"/>
        </w:rPr>
        <w:t>了</w:t>
      </w:r>
      <w:r>
        <w:rPr>
          <w:rFonts w:hint="eastAsia" w:ascii="仿宋_GB2312" w:hAnsi="仿宋_GB2312" w:eastAsia="仿宋_GB2312" w:cs="仿宋_GB2312"/>
          <w:color w:val="000000"/>
          <w:sz w:val="32"/>
          <w:szCs w:val="32"/>
          <w:lang w:eastAsia="zh-CN"/>
        </w:rPr>
        <w:t>城区主次干道</w:t>
      </w:r>
      <w:r>
        <w:rPr>
          <w:rFonts w:hint="eastAsia" w:ascii="仿宋_GB2312" w:hAnsi="仿宋_GB2312" w:eastAsia="仿宋_GB2312" w:cs="仿宋_GB2312"/>
          <w:color w:val="000000"/>
          <w:sz w:val="32"/>
          <w:szCs w:val="32"/>
          <w:highlight w:val="none"/>
        </w:rPr>
        <w:t>路灯</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26777盏</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及小街巷路灯</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4229</w:t>
      </w:r>
      <w:r>
        <w:rPr>
          <w:rFonts w:hint="eastAsia" w:ascii="仿宋_GB2312" w:hAnsi="仿宋_GB2312" w:eastAsia="仿宋_GB2312" w:cs="仿宋_GB2312"/>
          <w:color w:val="000000"/>
          <w:sz w:val="32"/>
          <w:szCs w:val="32"/>
          <w:highlight w:val="none"/>
        </w:rPr>
        <w:t>盏</w:t>
      </w:r>
      <w:r>
        <w:rPr>
          <w:rFonts w:hint="eastAsia" w:ascii="仿宋_GB2312" w:hAnsi="仿宋_GB2312" w:eastAsia="仿宋_GB2312" w:cs="仿宋_GB2312"/>
          <w:color w:val="000000"/>
          <w:sz w:val="32"/>
          <w:szCs w:val="32"/>
          <w:highlight w:val="none"/>
          <w:lang w:eastAsia="zh-CN"/>
        </w:rPr>
        <w:t>）和公用亮化设施（功率</w:t>
      </w:r>
      <w:r>
        <w:rPr>
          <w:rFonts w:hint="eastAsia" w:ascii="仿宋_GB2312" w:hAnsi="仿宋_GB2312" w:eastAsia="仿宋_GB2312" w:cs="仿宋_GB2312"/>
          <w:color w:val="000000"/>
          <w:sz w:val="32"/>
          <w:szCs w:val="32"/>
          <w:highlight w:val="none"/>
        </w:rPr>
        <w:t>4008.2</w:t>
      </w:r>
      <w:r>
        <w:rPr>
          <w:rFonts w:hint="eastAsia" w:ascii="仿宋_GB2312" w:hAnsi="仿宋_GB2312" w:eastAsia="仿宋_GB2312" w:cs="仿宋_GB2312"/>
          <w:color w:val="000000"/>
          <w:sz w:val="32"/>
          <w:szCs w:val="32"/>
          <w:highlight w:val="none"/>
          <w:lang w:val="en-US" w:eastAsia="zh-CN"/>
        </w:rPr>
        <w:t>6</w:t>
      </w:r>
      <w:r>
        <w:rPr>
          <w:rFonts w:hint="eastAsia" w:ascii="仿宋_GB2312" w:hAnsi="仿宋_GB2312" w:eastAsia="仿宋_GB2312" w:cs="仿宋_GB2312"/>
          <w:color w:val="000000"/>
          <w:sz w:val="32"/>
          <w:szCs w:val="32"/>
          <w:highlight w:val="none"/>
        </w:rPr>
        <w:t>KW</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正常运行</w:t>
      </w:r>
      <w:r>
        <w:rPr>
          <w:rFonts w:hint="eastAsia" w:ascii="仿宋_GB2312" w:hAnsi="仿宋_GB2312" w:eastAsia="仿宋_GB2312" w:cs="仿宋_GB2312"/>
          <w:color w:val="000000"/>
          <w:sz w:val="32"/>
          <w:szCs w:val="32"/>
          <w:highlight w:val="none"/>
          <w:lang w:eastAsia="zh-CN"/>
        </w:rPr>
        <w:t>，亮灯率及设施完好率达</w:t>
      </w:r>
      <w:r>
        <w:rPr>
          <w:rFonts w:hint="eastAsia" w:ascii="仿宋_GB2312" w:hAnsi="仿宋_GB2312" w:eastAsia="仿宋_GB2312" w:cs="仿宋_GB2312"/>
          <w:color w:val="000000"/>
          <w:sz w:val="32"/>
          <w:szCs w:val="32"/>
          <w:highlight w:val="none"/>
          <w:lang w:val="en-US" w:eastAsia="zh-CN"/>
        </w:rPr>
        <w:t>98%以上</w:t>
      </w:r>
      <w:r>
        <w:rPr>
          <w:rFonts w:hint="eastAsia" w:ascii="仿宋_GB2312" w:hAnsi="仿宋_GB2312" w:eastAsia="仿宋_GB2312" w:cs="仿宋_GB2312"/>
          <w:color w:val="000000"/>
          <w:sz w:val="32"/>
          <w:szCs w:val="32"/>
          <w:lang w:eastAsia="zh-CN"/>
        </w:rPr>
        <w:t>；</w:t>
      </w:r>
    </w:p>
    <w:p w14:paraId="71006457">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目标2完成情况：以第四届省旅发大会为契机，高质量完成了18处亮化节点、16处楼宇景观的升级改造，城市夜间形象和品质显著提升，方便市民夜间出行。</w:t>
      </w:r>
    </w:p>
    <w:p w14:paraId="31C90486">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目标3完成情况：</w:t>
      </w:r>
      <w:r>
        <w:rPr>
          <w:rFonts w:hint="eastAsia" w:ascii="仿宋_GB2312" w:hAnsi="仿宋_GB2312" w:eastAsia="仿宋_GB2312" w:cs="仿宋_GB2312"/>
          <w:color w:val="000000"/>
          <w:sz w:val="32"/>
          <w:szCs w:val="32"/>
          <w:lang w:eastAsia="zh-CN"/>
        </w:rPr>
        <w:t>为中心城区夜景亮化方案的设计提出了建设性意见，</w:t>
      </w:r>
      <w:r>
        <w:rPr>
          <w:rFonts w:hint="eastAsia" w:ascii="仿宋_GB2312" w:hAnsi="仿宋_GB2312" w:eastAsia="仿宋_GB2312" w:cs="仿宋_GB2312"/>
          <w:color w:val="000000"/>
          <w:sz w:val="32"/>
          <w:szCs w:val="32"/>
          <w:lang w:val="en-US" w:eastAsia="zh-CN"/>
        </w:rPr>
        <w:t>完成了</w:t>
      </w:r>
      <w:r>
        <w:rPr>
          <w:rFonts w:hint="eastAsia" w:ascii="仿宋_GB2312" w:hAnsi="仿宋_GB2312" w:eastAsia="仿宋_GB2312" w:cs="仿宋_GB2312"/>
          <w:color w:val="000000"/>
          <w:sz w:val="32"/>
          <w:szCs w:val="32"/>
          <w:lang w:eastAsia="zh-CN"/>
        </w:rPr>
        <w:t>新建楼宇亮化方案审批及亮化单位用电量计量管理，</w:t>
      </w:r>
      <w:r>
        <w:rPr>
          <w:rFonts w:hint="eastAsia" w:ascii="仿宋_GB2312" w:hAnsi="仿宋_GB2312" w:eastAsia="仿宋_GB2312" w:cs="仿宋_GB2312"/>
          <w:color w:val="000000"/>
          <w:sz w:val="32"/>
          <w:szCs w:val="32"/>
          <w:lang w:val="en-US" w:eastAsia="zh-CN"/>
        </w:rPr>
        <w:t>并</w:t>
      </w:r>
      <w:r>
        <w:rPr>
          <w:rFonts w:hint="eastAsia" w:ascii="仿宋_GB2312" w:hAnsi="仿宋_GB2312" w:eastAsia="仿宋_GB2312" w:cs="仿宋_GB2312"/>
          <w:color w:val="000000"/>
          <w:sz w:val="32"/>
          <w:szCs w:val="32"/>
          <w:lang w:eastAsia="zh-CN"/>
        </w:rPr>
        <w:t>协助</w:t>
      </w:r>
      <w:r>
        <w:rPr>
          <w:rFonts w:hint="eastAsia" w:ascii="仿宋_GB2312" w:hAnsi="仿宋_GB2312" w:eastAsia="仿宋_GB2312" w:cs="仿宋_GB2312"/>
          <w:color w:val="000000"/>
          <w:sz w:val="32"/>
          <w:szCs w:val="32"/>
          <w:lang w:val="en-US" w:eastAsia="zh-CN"/>
        </w:rPr>
        <w:t>完成了</w:t>
      </w:r>
      <w:r>
        <w:rPr>
          <w:rFonts w:hint="eastAsia" w:ascii="仿宋_GB2312" w:hAnsi="仿宋_GB2312" w:eastAsia="仿宋_GB2312" w:cs="仿宋_GB2312"/>
          <w:color w:val="000000"/>
          <w:sz w:val="32"/>
          <w:szCs w:val="32"/>
          <w:lang w:eastAsia="zh-CN"/>
        </w:rPr>
        <w:t>城区夜景亮化工程的施工检查、竣工验收</w:t>
      </w:r>
      <w:r>
        <w:rPr>
          <w:rFonts w:hint="eastAsia" w:ascii="仿宋_GB2312" w:hAnsi="仿宋_GB2312" w:eastAsia="仿宋_GB2312" w:cs="仿宋_GB2312"/>
          <w:color w:val="000000"/>
          <w:sz w:val="32"/>
          <w:szCs w:val="32"/>
          <w:lang w:val="en-US" w:eastAsia="zh-CN"/>
        </w:rPr>
        <w:t>工作</w:t>
      </w:r>
      <w:r>
        <w:rPr>
          <w:rFonts w:hint="eastAsia" w:ascii="仿宋_GB2312" w:hAnsi="仿宋_GB2312" w:eastAsia="仿宋_GB2312" w:cs="仿宋_GB2312"/>
          <w:color w:val="000000"/>
          <w:sz w:val="32"/>
          <w:szCs w:val="32"/>
          <w:lang w:eastAsia="zh-CN"/>
        </w:rPr>
        <w:t>；</w:t>
      </w:r>
    </w:p>
    <w:p w14:paraId="50032AA6">
      <w:pPr>
        <w:pStyle w:val="5"/>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lang w:eastAsia="zh-CN"/>
        </w:rPr>
      </w:pPr>
      <w:r>
        <w:rPr>
          <w:rFonts w:hint="eastAsia" w:ascii="仿宋_GB2312" w:hAnsi="仿宋_GB2312" w:eastAsia="仿宋_GB2312" w:cs="仿宋_GB2312"/>
          <w:color w:val="000000"/>
          <w:sz w:val="32"/>
          <w:szCs w:val="32"/>
          <w:lang w:val="en-US" w:eastAsia="zh-CN"/>
        </w:rPr>
        <w:t>目标4完成情况：</w:t>
      </w:r>
      <w:r>
        <w:rPr>
          <w:rFonts w:hint="eastAsia" w:ascii="仿宋_GB2312" w:hAnsi="仿宋_GB2312" w:eastAsia="仿宋_GB2312" w:cs="仿宋_GB2312"/>
          <w:color w:val="000000"/>
          <w:sz w:val="32"/>
          <w:szCs w:val="32"/>
          <w:lang w:eastAsia="zh-CN"/>
        </w:rPr>
        <w:t>中心城区路灯节能改造</w:t>
      </w:r>
      <w:r>
        <w:rPr>
          <w:rFonts w:hint="eastAsia" w:ascii="仿宋_GB2312" w:hAnsi="仿宋_GB2312" w:eastAsia="仿宋_GB2312" w:cs="仿宋_GB2312"/>
          <w:color w:val="000000"/>
          <w:sz w:val="32"/>
          <w:szCs w:val="32"/>
          <w:lang w:val="en-US" w:eastAsia="zh-CN"/>
        </w:rPr>
        <w:t>工作有序推进</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全年完成40条主次干道6100余套LED灯具更换，单灯控制器覆盖率达50%，节能降耗效果明显。</w:t>
      </w:r>
    </w:p>
    <w:p w14:paraId="47F81348">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textAlignment w:val="auto"/>
        <w:rPr>
          <w:rFonts w:hint="default" w:ascii="仿宋_GB2312" w:hAnsi="仿宋_GB2312" w:eastAsia="仿宋_GB2312" w:cs="仿宋_GB2312"/>
          <w:sz w:val="32"/>
          <w:szCs w:val="32"/>
          <w:lang w:val="en-US" w:eastAsia="zh-CN"/>
        </w:rPr>
      </w:pPr>
      <w:r>
        <w:rPr>
          <w:rFonts w:ascii="Times New Roman" w:hAnsi="Times New Roman" w:eastAsia="仿宋_GB2312" w:cs="Times New Roman"/>
          <w:sz w:val="32"/>
          <w:szCs w:val="32"/>
        </w:rPr>
        <w:t>发现的主要问题及原因：一是</w:t>
      </w:r>
      <w:r>
        <w:rPr>
          <w:rFonts w:hint="eastAsia" w:ascii="仿宋_GB2312" w:hAnsi="仿宋_GB2312" w:eastAsia="仿宋_GB2312" w:cs="仿宋_GB2312"/>
          <w:sz w:val="32"/>
          <w:szCs w:val="32"/>
          <w:lang w:val="en-US" w:eastAsia="zh-CN"/>
        </w:rPr>
        <w:t>去年10月中心接管经开区的</w:t>
      </w:r>
      <w:r>
        <w:rPr>
          <w:rFonts w:hint="default" w:ascii="仿宋_GB2312" w:hAnsi="仿宋_GB2312" w:eastAsia="仿宋_GB2312" w:cs="仿宋_GB2312"/>
          <w:sz w:val="32"/>
          <w:szCs w:val="32"/>
          <w:lang w:val="en-US" w:eastAsia="zh-CN"/>
        </w:rPr>
        <w:t>73条</w:t>
      </w:r>
      <w:r>
        <w:rPr>
          <w:rFonts w:hint="eastAsia" w:ascii="仿宋_GB2312" w:hAnsi="仿宋_GB2312" w:eastAsia="仿宋_GB2312" w:cs="仿宋_GB2312"/>
          <w:sz w:val="32"/>
          <w:szCs w:val="32"/>
          <w:lang w:val="en-US" w:eastAsia="zh-CN"/>
        </w:rPr>
        <w:t>道路照明设施</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路灯数量增加5843盏，而2025年</w:t>
      </w:r>
      <w:r>
        <w:rPr>
          <w:rFonts w:hint="default" w:ascii="仿宋_GB2312" w:hAnsi="仿宋_GB2312" w:eastAsia="仿宋_GB2312" w:cs="仿宋_GB2312"/>
          <w:sz w:val="32"/>
          <w:szCs w:val="32"/>
          <w:lang w:val="en-US" w:eastAsia="zh-CN"/>
        </w:rPr>
        <w:t>财政拨款较</w:t>
      </w:r>
      <w:r>
        <w:rPr>
          <w:rFonts w:hint="eastAsia" w:ascii="仿宋_GB2312" w:hAnsi="仿宋_GB2312" w:eastAsia="仿宋_GB2312" w:cs="仿宋_GB2312"/>
          <w:sz w:val="32"/>
          <w:szCs w:val="32"/>
          <w:lang w:val="en-US" w:eastAsia="zh-CN"/>
        </w:rPr>
        <w:t>2024年大幅</w:t>
      </w:r>
      <w:r>
        <w:rPr>
          <w:rFonts w:hint="default" w:ascii="仿宋_GB2312" w:hAnsi="仿宋_GB2312" w:eastAsia="仿宋_GB2312" w:cs="仿宋_GB2312"/>
          <w:sz w:val="32"/>
          <w:szCs w:val="32"/>
          <w:lang w:val="en-US" w:eastAsia="zh-CN"/>
        </w:rPr>
        <w:t>减</w:t>
      </w:r>
      <w:r>
        <w:rPr>
          <w:rFonts w:hint="eastAsia" w:ascii="仿宋_GB2312" w:hAnsi="仿宋_GB2312" w:eastAsia="仿宋_GB2312" w:cs="仿宋_GB2312"/>
          <w:sz w:val="32"/>
          <w:szCs w:val="32"/>
          <w:lang w:val="en-US" w:eastAsia="zh-CN"/>
        </w:rPr>
        <w:t>少</w:t>
      </w:r>
      <w:r>
        <w:rPr>
          <w:rFonts w:hint="default" w:ascii="仿宋_GB2312" w:hAnsi="仿宋_GB2312" w:eastAsia="仿宋_GB2312" w:cs="仿宋_GB2312"/>
          <w:sz w:val="32"/>
          <w:szCs w:val="32"/>
          <w:lang w:val="en-US" w:eastAsia="zh-CN"/>
        </w:rPr>
        <w:t>，形成运维成本刚性增长与资金供给逆向收缩的矛盾，经费缺口持续扩大</w:t>
      </w:r>
      <w:r>
        <w:rPr>
          <w:rFonts w:ascii="Times New Roman" w:hAnsi="Times New Roman" w:eastAsia="仿宋_GB2312" w:cs="Times New Roman"/>
          <w:sz w:val="32"/>
          <w:szCs w:val="32"/>
        </w:rPr>
        <w:t>；二是</w:t>
      </w:r>
      <w:r>
        <w:rPr>
          <w:rFonts w:hint="eastAsia" w:ascii="仿宋_GB2312" w:hAnsi="仿宋_GB2312" w:eastAsia="仿宋_GB2312" w:cs="仿宋_GB2312"/>
          <w:sz w:val="32"/>
          <w:szCs w:val="32"/>
        </w:rPr>
        <w:t>部分配电设备、线路和灯杆已远超设计使用年限。</w:t>
      </w:r>
      <w:r>
        <w:rPr>
          <w:rFonts w:hint="eastAsia" w:ascii="仿宋_GB2312" w:hAnsi="仿宋_GB2312" w:eastAsia="仿宋_GB2312" w:cs="仿宋_GB2312"/>
          <w:sz w:val="32"/>
          <w:szCs w:val="32"/>
          <w:lang w:val="en-US" w:eastAsia="zh-CN"/>
        </w:rPr>
        <w:t>2025年</w:t>
      </w:r>
      <w:r>
        <w:rPr>
          <w:rFonts w:hint="default" w:ascii="仿宋_GB2312" w:hAnsi="仿宋_GB2312" w:eastAsia="仿宋_GB2312" w:cs="仿宋_GB2312"/>
          <w:sz w:val="32"/>
          <w:szCs w:val="32"/>
          <w:lang w:val="en-US" w:eastAsia="zh-CN"/>
        </w:rPr>
        <w:t>因</w:t>
      </w:r>
      <w:r>
        <w:rPr>
          <w:rFonts w:hint="eastAsia" w:ascii="仿宋_GB2312" w:hAnsi="仿宋_GB2312" w:eastAsia="仿宋_GB2312" w:cs="仿宋_GB2312"/>
          <w:sz w:val="32"/>
          <w:szCs w:val="32"/>
          <w:lang w:val="en-US" w:eastAsia="zh-CN"/>
        </w:rPr>
        <w:t>照明设施</w:t>
      </w:r>
      <w:r>
        <w:rPr>
          <w:rFonts w:hint="default" w:ascii="仿宋_GB2312" w:hAnsi="仿宋_GB2312" w:eastAsia="仿宋_GB2312" w:cs="仿宋_GB2312"/>
          <w:sz w:val="32"/>
          <w:szCs w:val="32"/>
          <w:lang w:val="en-US" w:eastAsia="zh-CN"/>
        </w:rPr>
        <w:t>严重老化引发的低压线路故障</w:t>
      </w:r>
      <w:r>
        <w:rPr>
          <w:rFonts w:hint="eastAsia" w:ascii="仿宋_GB2312" w:hAnsi="仿宋_GB2312" w:eastAsia="仿宋_GB2312" w:cs="仿宋_GB2312"/>
          <w:sz w:val="32"/>
          <w:szCs w:val="32"/>
          <w:lang w:val="en-US" w:eastAsia="zh-CN"/>
        </w:rPr>
        <w:t>百余</w:t>
      </w:r>
      <w:r>
        <w:rPr>
          <w:rFonts w:hint="default" w:ascii="仿宋_GB2312" w:hAnsi="仿宋_GB2312" w:eastAsia="仿宋_GB2312" w:cs="仿宋_GB2312"/>
          <w:sz w:val="32"/>
          <w:szCs w:val="32"/>
          <w:lang w:val="en-US" w:eastAsia="zh-CN"/>
        </w:rPr>
        <w:t>起、高压配电室故障</w:t>
      </w:r>
      <w:r>
        <w:rPr>
          <w:rFonts w:hint="eastAsia" w:ascii="仿宋_GB2312" w:hAnsi="仿宋_GB2312" w:eastAsia="仿宋_GB2312" w:cs="仿宋_GB2312"/>
          <w:sz w:val="32"/>
          <w:szCs w:val="32"/>
          <w:lang w:val="en-US" w:eastAsia="zh-CN"/>
        </w:rPr>
        <w:t>22</w:t>
      </w:r>
      <w:r>
        <w:rPr>
          <w:rFonts w:hint="default" w:ascii="仿宋_GB2312" w:hAnsi="仿宋_GB2312" w:eastAsia="仿宋_GB2312" w:cs="仿宋_GB2312"/>
          <w:sz w:val="32"/>
          <w:szCs w:val="32"/>
          <w:lang w:val="en-US" w:eastAsia="zh-CN"/>
        </w:rPr>
        <w:t>起</w:t>
      </w:r>
      <w:r>
        <w:rPr>
          <w:rFonts w:hint="eastAsia" w:ascii="仿宋_GB2312" w:hAnsi="仿宋_GB2312" w:eastAsia="仿宋_GB2312" w:cs="仿宋_GB2312"/>
          <w:sz w:val="32"/>
          <w:szCs w:val="32"/>
          <w:lang w:val="en-US" w:eastAsia="zh-CN"/>
        </w:rPr>
        <w:t>，及时发现</w:t>
      </w:r>
      <w:r>
        <w:rPr>
          <w:rFonts w:hint="default" w:ascii="仿宋_GB2312" w:hAnsi="仿宋_GB2312" w:eastAsia="仿宋_GB2312" w:cs="仿宋_GB2312"/>
          <w:sz w:val="32"/>
          <w:szCs w:val="32"/>
          <w:lang w:val="en-US" w:eastAsia="zh-CN"/>
        </w:rPr>
        <w:t>并拆除存在安全隐患的老旧灯杆</w:t>
      </w:r>
      <w:r>
        <w:rPr>
          <w:rFonts w:hint="eastAsia" w:ascii="仿宋_GB2312" w:hAnsi="仿宋_GB2312" w:eastAsia="仿宋_GB2312" w:cs="仿宋_GB2312"/>
          <w:sz w:val="32"/>
          <w:szCs w:val="32"/>
          <w:lang w:val="en-US" w:eastAsia="zh-CN"/>
        </w:rPr>
        <w:t>38</w:t>
      </w:r>
      <w:r>
        <w:rPr>
          <w:rFonts w:hint="default" w:ascii="仿宋_GB2312" w:hAnsi="仿宋_GB2312" w:eastAsia="仿宋_GB2312" w:cs="仿宋_GB2312"/>
          <w:sz w:val="32"/>
          <w:szCs w:val="32"/>
          <w:lang w:val="en-US" w:eastAsia="zh-CN"/>
        </w:rPr>
        <w:t>基</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设备老化</w:t>
      </w:r>
      <w:r>
        <w:rPr>
          <w:rFonts w:hint="eastAsia" w:ascii="仿宋_GB2312" w:hAnsi="仿宋_GB2312" w:eastAsia="仿宋_GB2312" w:cs="仿宋_GB2312"/>
          <w:sz w:val="32"/>
          <w:szCs w:val="32"/>
          <w:lang w:val="en-US" w:eastAsia="zh-CN"/>
        </w:rPr>
        <w:t>问题</w:t>
      </w:r>
      <w:r>
        <w:rPr>
          <w:rFonts w:hint="default" w:ascii="仿宋_GB2312" w:hAnsi="仿宋_GB2312" w:eastAsia="仿宋_GB2312" w:cs="仿宋_GB2312"/>
          <w:sz w:val="32"/>
          <w:szCs w:val="32"/>
          <w:lang w:val="en-US" w:eastAsia="zh-CN"/>
        </w:rPr>
        <w:t>频发</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若不尽快更新升级，可能引发大面积熄灯或安全事故，</w:t>
      </w:r>
      <w:r>
        <w:rPr>
          <w:rFonts w:hint="eastAsia" w:ascii="仿宋_GB2312" w:hAnsi="仿宋_GB2312" w:eastAsia="仿宋_GB2312" w:cs="仿宋_GB2312"/>
          <w:sz w:val="32"/>
          <w:szCs w:val="32"/>
          <w:lang w:val="en-US" w:eastAsia="zh-CN"/>
        </w:rPr>
        <w:t>需尽快</w:t>
      </w:r>
      <w:r>
        <w:rPr>
          <w:rFonts w:hint="default" w:ascii="仿宋_GB2312" w:hAnsi="仿宋_GB2312" w:eastAsia="仿宋_GB2312" w:cs="仿宋_GB2312"/>
          <w:sz w:val="32"/>
          <w:szCs w:val="32"/>
          <w:lang w:val="en-US" w:eastAsia="zh-CN"/>
        </w:rPr>
        <w:t>启动对超期服役老旧照明设施的全面</w:t>
      </w:r>
      <w:r>
        <w:rPr>
          <w:rFonts w:hint="eastAsia" w:ascii="仿宋_GB2312" w:hAnsi="仿宋_GB2312" w:eastAsia="仿宋_GB2312" w:cs="仿宋_GB2312"/>
          <w:sz w:val="32"/>
          <w:szCs w:val="32"/>
          <w:lang w:val="en-US" w:eastAsia="zh-CN"/>
        </w:rPr>
        <w:t>改造</w:t>
      </w:r>
      <w:r>
        <w:rPr>
          <w:rFonts w:hint="default" w:ascii="仿宋_GB2312" w:hAnsi="仿宋_GB2312" w:eastAsia="仿宋_GB2312" w:cs="仿宋_GB2312"/>
          <w:sz w:val="32"/>
          <w:szCs w:val="32"/>
          <w:lang w:val="en-US" w:eastAsia="zh-CN"/>
        </w:rPr>
        <w:t>工作。</w:t>
      </w:r>
    </w:p>
    <w:p w14:paraId="7670A1B0">
      <w:pPr>
        <w:keepNext w:val="0"/>
        <w:keepLines w:val="0"/>
        <w:pageBreakBefore w:val="0"/>
        <w:widowControl w:val="0"/>
        <w:kinsoku/>
        <w:wordWrap/>
        <w:overflowPunct/>
        <w:topLinePunct w:val="0"/>
        <w:autoSpaceDE/>
        <w:autoSpaceDN/>
        <w:bidi w:val="0"/>
        <w:adjustRightInd/>
        <w:snapToGrid/>
        <w:spacing w:beforeAutospacing="0" w:line="600" w:lineRule="exact"/>
        <w:ind w:firstLine="640" w:firstLineChars="200"/>
        <w:textAlignment w:val="auto"/>
        <w:rPr>
          <w:rFonts w:hint="eastAsia" w:ascii="仿宋_GB2312" w:hAnsi="仿宋_GB2312" w:eastAsia="仿宋_GB2312" w:cs="仿宋_GB2312"/>
          <w:sz w:val="32"/>
          <w:szCs w:val="32"/>
          <w:lang w:val="en-US" w:eastAsia="zh-CN"/>
        </w:rPr>
      </w:pPr>
      <w:r>
        <w:rPr>
          <w:rFonts w:ascii="Times New Roman" w:hAnsi="Times New Roman" w:eastAsia="仿宋_GB2312" w:cs="Times New Roman"/>
          <w:sz w:val="32"/>
          <w:szCs w:val="32"/>
        </w:rPr>
        <w:t>下一步改进措施：一是</w:t>
      </w:r>
      <w:r>
        <w:rPr>
          <w:rFonts w:hint="eastAsia" w:ascii="仿宋_GB2312" w:hAnsi="仿宋_GB2312" w:eastAsia="仿宋_GB2312" w:cs="仿宋_GB2312"/>
          <w:sz w:val="32"/>
          <w:szCs w:val="32"/>
          <w:lang w:val="en-US" w:eastAsia="zh-CN"/>
        </w:rPr>
        <w:t>积极向上级部门汇报因接管新增的运维成本及设施老化现状，争取专项维护资金支持；内部优化支出结构，压减非刚性支出，优先保障安全运行和民生急需</w:t>
      </w:r>
      <w:r>
        <w:rPr>
          <w:rFonts w:ascii="Times New Roman" w:hAnsi="Times New Roman" w:eastAsia="仿宋_GB2312" w:cs="Times New Roman"/>
          <w:sz w:val="32"/>
          <w:szCs w:val="32"/>
        </w:rPr>
        <w:t>；二是</w:t>
      </w:r>
      <w:r>
        <w:rPr>
          <w:rFonts w:hint="eastAsia" w:ascii="仿宋_GB2312" w:hAnsi="仿宋_GB2312" w:eastAsia="仿宋_GB2312" w:cs="仿宋_GB2312"/>
          <w:sz w:val="32"/>
          <w:szCs w:val="32"/>
          <w:lang w:val="en-US" w:eastAsia="zh-CN"/>
        </w:rPr>
        <w:t>分年度、季度制定老旧照明设施改造计划，重点对超期服役的变压器、高压线路及灯杆进行系统性排查更换，消除安全隐患；三是2026年重点推进长江大道、通海路等主次干道LED节能灯具更换及智能控制系统升级，力争年底前基本完成中心城区管辖范围内绿色照明改造任务。全面推进单灯智能控制系统建设，确保城区主次干道单灯控制器安装使用率达到70%以上，实现精准控制、按需照明、节能降耗。</w:t>
      </w:r>
    </w:p>
    <w:p w14:paraId="55CEC290">
      <w:pPr>
        <w:overflowPunct w:val="0"/>
        <w:spacing w:line="600" w:lineRule="exact"/>
        <w:ind w:firstLine="640" w:firstLineChars="200"/>
        <w:rPr>
          <w:rFonts w:ascii="Times New Roman" w:hAnsi="Times New Roman" w:eastAsia="仿宋_GB2312" w:cs="Times New Roman"/>
          <w:color w:val="000000" w:themeColor="text1"/>
          <w:kern w:val="0"/>
          <w:sz w:val="32"/>
          <w:szCs w:val="32"/>
          <w14:textFill>
            <w14:solidFill>
              <w14:schemeClr w14:val="tx1"/>
            </w14:solidFill>
          </w14:textFill>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b/>
          <w:bCs/>
          <w:kern w:val="0"/>
          <w:sz w:val="32"/>
          <w:szCs w:val="32"/>
        </w:rPr>
        <w:t>部门评价结果。</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本单位为二级预算单位，部门评价结果可详见上级部门决算公开说明。</w:t>
      </w:r>
    </w:p>
    <w:p w14:paraId="28268DE6">
      <w:pPr>
        <w:overflowPunct w:val="0"/>
        <w:spacing w:line="600" w:lineRule="exact"/>
        <w:ind w:firstLine="640" w:firstLineChars="200"/>
        <w:rPr>
          <w:rFonts w:ascii="Times New Roman" w:hAnsi="Times New Roman" w:eastAsia="仿宋_GB2312" w:cs="Times New Roman"/>
          <w:color w:val="000000" w:themeColor="text1"/>
          <w:kern w:val="0"/>
          <w:sz w:val="32"/>
          <w:szCs w:val="32"/>
          <w14:textFill>
            <w14:solidFill>
              <w14:schemeClr w14:val="tx1"/>
            </w14:solidFill>
          </w14:textFill>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b/>
          <w:bCs/>
          <w:kern w:val="0"/>
          <w:sz w:val="32"/>
          <w:szCs w:val="32"/>
          <w:highlight w:val="none"/>
          <w:lang w:val="en-US" w:eastAsia="zh-CN"/>
        </w:rPr>
        <w:t>事</w:t>
      </w:r>
      <w:r>
        <w:rPr>
          <w:rFonts w:ascii="Times New Roman" w:hAnsi="Times New Roman" w:eastAsia="仿宋_GB2312" w:cs="Times New Roman"/>
          <w:b/>
          <w:bCs/>
          <w:kern w:val="0"/>
          <w:sz w:val="32"/>
          <w:szCs w:val="32"/>
          <w:highlight w:val="none"/>
        </w:rPr>
        <w:t>前绩效评估结果。</w:t>
      </w:r>
      <w:r>
        <w:rPr>
          <w:rFonts w:hint="eastAsia" w:ascii="Times New Roman" w:hAnsi="Times New Roman" w:eastAsia="仿宋_GB2312" w:cs="Times New Roman"/>
          <w:color w:val="000000" w:themeColor="text1"/>
          <w:kern w:val="0"/>
          <w:sz w:val="32"/>
          <w:szCs w:val="32"/>
          <w:lang w:val="en-US" w:eastAsia="zh-CN"/>
          <w14:textFill>
            <w14:solidFill>
              <w14:schemeClr w14:val="tx1"/>
            </w14:solidFill>
          </w14:textFill>
        </w:rPr>
        <w:t>本单位为二级预算单位，部门评价结果可详见上级部门决算公开说明。</w:t>
      </w:r>
    </w:p>
    <w:p w14:paraId="7D5D94F1">
      <w:pPr>
        <w:numPr>
          <w:ilvl w:val="0"/>
          <w:numId w:val="2"/>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14:paraId="6F5DDCC6">
      <w:pPr>
        <w:pStyle w:val="15"/>
        <w:keepNext w:val="0"/>
        <w:keepLines w:val="0"/>
        <w:pageBreakBefore w:val="0"/>
        <w:widowControl/>
        <w:kinsoku/>
        <w:wordWrap/>
        <w:overflowPunct/>
        <w:topLinePunct w:val="0"/>
        <w:autoSpaceDE/>
        <w:autoSpaceDN/>
        <w:bidi w:val="0"/>
        <w:adjustRightInd/>
        <w:snapToGrid/>
        <w:spacing w:line="580" w:lineRule="exact"/>
        <w:ind w:firstLine="640" w:firstLineChars="200"/>
        <w:jc w:val="both"/>
        <w:textAlignment w:val="auto"/>
        <w:rPr>
          <w:rFonts w:hint="eastAsia" w:ascii="CESI仿宋-GB2312" w:hAnsi="CESI仿宋-GB2312" w:eastAsia="CESI仿宋-GB2312" w:cs="CESI仿宋-GB2312"/>
          <w:sz w:val="32"/>
          <w:szCs w:val="32"/>
        </w:rPr>
      </w:pP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评价小组依据岳阳市财政局《关于印发&lt;岳阳市市级预算部门绩效自评操作规程&gt;的通知》岳财函〔2022〕209号文件规定评价指标和标准，结合绩效目标对岳阳市城市照明管理中心2025年资金支出情况进行了定量和定性分析，单位整体绩效评价最后得分为</w:t>
      </w:r>
      <w:r>
        <w:rPr>
          <w:rFonts w:hint="default" w:ascii="Times New Roman" w:hAnsi="Times New Roman" w:eastAsia="仿宋_GB2312" w:cs="Times New Roman"/>
          <w:color w:val="000000" w:themeColor="text1"/>
          <w:kern w:val="0"/>
          <w:sz w:val="32"/>
          <w:szCs w:val="32"/>
          <w:lang w:val="en-US" w:eastAsia="zh-CN" w:bidi="ar-SA"/>
          <w14:textFill>
            <w14:solidFill>
              <w14:schemeClr w14:val="tx1"/>
            </w14:solidFill>
          </w14:textFill>
        </w:rPr>
        <w:t>9.9</w:t>
      </w:r>
      <w:r>
        <w:rPr>
          <w:rFonts w:hint="eastAsia" w:ascii="Times New Roman" w:hAnsi="Times New Roman" w:eastAsia="仿宋_GB2312" w:cs="Times New Roman"/>
          <w:color w:val="000000" w:themeColor="text1"/>
          <w:kern w:val="0"/>
          <w:sz w:val="32"/>
          <w:szCs w:val="32"/>
          <w:lang w:val="en-US" w:eastAsia="zh-CN" w:bidi="ar-SA"/>
          <w14:textFill>
            <w14:solidFill>
              <w14:schemeClr w14:val="tx1"/>
            </w14:solidFill>
          </w14:textFill>
        </w:rPr>
        <w:t>分（具体评分见附件2），从绩效评价总体情况来看，单位资金支出规范，整体支出绩效良好，圆满完成了年初绩效目标，积极推动了城市照明管理事业高质量发展。</w:t>
      </w:r>
    </w:p>
    <w:p w14:paraId="6D981F2D">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预算绩效管理开展情况、绩效目标和绩效评价报告等，已在市政府部门财政预决算公开平台上向社会公开，详见附件。</w:t>
      </w:r>
    </w:p>
    <w:p w14:paraId="2C9FA0DA">
      <w:pPr>
        <w:pStyle w:val="2"/>
        <w:rPr>
          <w:rFonts w:hint="eastAsia"/>
          <w:lang w:val="en-US" w:eastAsia="zh-CN"/>
        </w:rPr>
      </w:pPr>
    </w:p>
    <w:p w14:paraId="070449D7">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14:paraId="63AF85AE">
      <w:pPr>
        <w:pStyle w:val="14"/>
        <w:jc w:val="both"/>
        <w:rPr>
          <w:rFonts w:hint="eastAsia" w:ascii="方正小标宋_GBK" w:hAnsi="方正小标宋_GBK" w:eastAsia="方正小标宋_GBK" w:cs="方正小标宋_GBK"/>
          <w:sz w:val="24"/>
          <w:szCs w:val="24"/>
        </w:rPr>
      </w:pPr>
    </w:p>
    <w:p w14:paraId="630452B2">
      <w:pPr>
        <w:pStyle w:val="14"/>
        <w:jc w:val="center"/>
        <w:rPr>
          <w:rFonts w:hint="eastAsia" w:ascii="方正小标宋_GBK" w:hAnsi="方正小标宋_GBK" w:eastAsia="方正小标宋_GBK" w:cs="方正小标宋_GBK"/>
          <w:sz w:val="72"/>
          <w:szCs w:val="72"/>
        </w:rPr>
      </w:pPr>
    </w:p>
    <w:p w14:paraId="59AA2FF0">
      <w:pPr>
        <w:pStyle w:val="14"/>
        <w:jc w:val="center"/>
        <w:rPr>
          <w:rFonts w:hint="eastAsia" w:ascii="方正小标宋_GBK" w:hAnsi="方正小标宋_GBK" w:eastAsia="方正小标宋_GBK" w:cs="方正小标宋_GBK"/>
          <w:sz w:val="72"/>
          <w:szCs w:val="72"/>
        </w:rPr>
      </w:pPr>
    </w:p>
    <w:p w14:paraId="144507C3">
      <w:pPr>
        <w:pStyle w:val="14"/>
        <w:jc w:val="center"/>
        <w:rPr>
          <w:rFonts w:hint="eastAsia" w:ascii="方正小标宋_GBK" w:hAnsi="方正小标宋_GBK" w:eastAsia="方正小标宋_GBK" w:cs="方正小标宋_GBK"/>
          <w:sz w:val="72"/>
          <w:szCs w:val="72"/>
        </w:rPr>
      </w:pPr>
    </w:p>
    <w:p w14:paraId="77295C58">
      <w:pPr>
        <w:pStyle w:val="14"/>
        <w:jc w:val="center"/>
        <w:rPr>
          <w:rFonts w:hint="eastAsia" w:ascii="方正小标宋_GBK" w:hAnsi="方正小标宋_GBK" w:eastAsia="方正小标宋_GBK" w:cs="方正小标宋_GBK"/>
          <w:sz w:val="72"/>
          <w:szCs w:val="72"/>
        </w:rPr>
      </w:pPr>
    </w:p>
    <w:p w14:paraId="47DCE462">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62740E40">
      <w:pPr>
        <w:jc w:val="center"/>
        <w:rPr>
          <w:rFonts w:hint="eastAsia" w:ascii="方正小标宋_GBK" w:hAnsi="方正小标宋_GBK" w:eastAsia="方正小标宋_GBK" w:cs="方正小标宋_GBK"/>
          <w:color w:val="000000"/>
          <w:kern w:val="0"/>
          <w:sz w:val="70"/>
          <w:szCs w:val="70"/>
        </w:rPr>
      </w:pPr>
    </w:p>
    <w:p w14:paraId="0CB978AC">
      <w:pPr>
        <w:pStyle w:val="14"/>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14:paraId="4498B40A">
      <w:pPr>
        <w:pStyle w:val="2"/>
      </w:pPr>
    </w:p>
    <w:p w14:paraId="16BFEAD7">
      <w:pPr>
        <w:pStyle w:val="3"/>
      </w:pPr>
    </w:p>
    <w:p w14:paraId="1A3AEF35"/>
    <w:p w14:paraId="5624321E">
      <w:pPr>
        <w:pStyle w:val="2"/>
      </w:pPr>
    </w:p>
    <w:p w14:paraId="749F89BC">
      <w:pPr>
        <w:pStyle w:val="3"/>
      </w:pPr>
    </w:p>
    <w:p w14:paraId="0B93F65D"/>
    <w:p w14:paraId="6FF40774">
      <w:pPr>
        <w:pStyle w:val="2"/>
      </w:pPr>
    </w:p>
    <w:p w14:paraId="436286AF">
      <w:pPr>
        <w:pStyle w:val="3"/>
      </w:pPr>
    </w:p>
    <w:p w14:paraId="750C1506"/>
    <w:p w14:paraId="4C8E8CB2">
      <w:pPr>
        <w:pStyle w:val="2"/>
      </w:pPr>
    </w:p>
    <w:p w14:paraId="6F70D45C">
      <w:pPr>
        <w:pStyle w:val="3"/>
      </w:pPr>
    </w:p>
    <w:p w14:paraId="4D845446"/>
    <w:p w14:paraId="56583971">
      <w:pPr>
        <w:pStyle w:val="2"/>
      </w:pPr>
    </w:p>
    <w:p w14:paraId="014945EF">
      <w:pPr>
        <w:pStyle w:val="3"/>
      </w:pPr>
    </w:p>
    <w:p w14:paraId="1ADE1DD8"/>
    <w:p w14:paraId="0F3C71AB">
      <w:pPr>
        <w:pStyle w:val="2"/>
      </w:pPr>
    </w:p>
    <w:p w14:paraId="71AD4CEA">
      <w:pPr>
        <w:ind w:firstLine="640" w:firstLineChars="200"/>
        <w:jc w:val="left"/>
        <w:rPr>
          <w:rFonts w:hint="eastAsia" w:ascii="仿宋_GB2312" w:hAnsi="仿宋_GB2312" w:eastAsia="仿宋_GB2312" w:cs="仿宋_GB2312"/>
          <w:color w:val="000000"/>
          <w:kern w:val="0"/>
          <w:sz w:val="32"/>
          <w:szCs w:val="32"/>
        </w:rPr>
      </w:pPr>
    </w:p>
    <w:p w14:paraId="284B194B">
      <w:pPr>
        <w:jc w:val="left"/>
        <w:rPr>
          <w:rFonts w:hint="eastAsia" w:ascii="仿宋_GB2312" w:hAnsi="仿宋_GB2312" w:eastAsia="仿宋_GB2312" w:cs="仿宋_GB2312"/>
          <w:color w:val="000000"/>
          <w:kern w:val="0"/>
          <w:sz w:val="32"/>
          <w:szCs w:val="32"/>
        </w:rPr>
      </w:pPr>
      <w:bookmarkStart w:id="0" w:name="_GoBack"/>
      <w:bookmarkEnd w:id="0"/>
    </w:p>
    <w:p w14:paraId="5B7FEA51">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F00A62C">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二、机关运行经费</w:t>
      </w:r>
      <w:r>
        <w:rPr>
          <w:rFonts w:hint="eastAsia" w:ascii="仿宋_GB2312" w:hAnsi="仿宋_GB2312" w:eastAsia="仿宋_GB2312" w:cs="仿宋_GB2312"/>
          <w:color w:val="000000"/>
          <w:kern w:val="0"/>
          <w:sz w:val="32"/>
          <w:szCs w:val="32"/>
          <w:lang w:eastAsia="zh-CN"/>
        </w:rPr>
        <w:t>，指为保障行政单位（包括参照公务员法管理的事业单位）运行用于购买货物和服务的各项资金</w:t>
      </w:r>
      <w:r>
        <w:rPr>
          <w:rFonts w:hint="eastAsia" w:ascii="仿宋_GB2312" w:hAnsi="仿宋_GB2312" w:eastAsia="仿宋_GB2312" w:cs="仿宋_GB2312"/>
          <w:color w:val="000000"/>
          <w:kern w:val="0"/>
          <w:sz w:val="32"/>
          <w:szCs w:val="32"/>
        </w:rPr>
        <w:t>，包括办公</w:t>
      </w:r>
      <w:r>
        <w:rPr>
          <w:rFonts w:hint="eastAsia" w:ascii="仿宋_GB2312" w:hAnsi="仿宋_GB2312" w:eastAsia="仿宋_GB2312" w:cs="仿宋_GB2312"/>
          <w:color w:val="000000"/>
          <w:kern w:val="0"/>
          <w:sz w:val="32"/>
          <w:szCs w:val="32"/>
          <w:lang w:eastAsia="zh-CN"/>
        </w:rPr>
        <w:t>费、</w:t>
      </w:r>
      <w:r>
        <w:rPr>
          <w:rFonts w:hint="eastAsia" w:ascii="仿宋_GB2312" w:hAnsi="仿宋_GB2312" w:eastAsia="仿宋_GB2312" w:cs="仿宋_GB2312"/>
          <w:color w:val="000000"/>
          <w:kern w:val="0"/>
          <w:sz w:val="32"/>
          <w:szCs w:val="32"/>
        </w:rPr>
        <w:t>印刷费、邮电费、差旅费、会议费、日常维修费、专用材料及一般设备购置费、办公用房水电费、办公用房取暖费、办公用房物业管理费、公务用车运行维护费以及其他费用。</w:t>
      </w:r>
    </w:p>
    <w:p w14:paraId="3FDB3339">
      <w:pPr>
        <w:pStyle w:val="14"/>
        <w:jc w:val="center"/>
        <w:rPr>
          <w:rFonts w:hint="eastAsia" w:ascii="仿宋_GB2312" w:hAnsi="仿宋_GB2312" w:eastAsia="仿宋_GB2312" w:cs="仿宋_GB2312"/>
          <w:sz w:val="32"/>
          <w:szCs w:val="32"/>
        </w:rPr>
      </w:pPr>
    </w:p>
    <w:p w14:paraId="674D9171">
      <w:pPr>
        <w:pStyle w:val="3"/>
      </w:pPr>
    </w:p>
    <w:p w14:paraId="667F70A4"/>
    <w:p w14:paraId="07E1F5A6">
      <w:pPr>
        <w:pStyle w:val="2"/>
      </w:pPr>
    </w:p>
    <w:p w14:paraId="6A025671">
      <w:pPr>
        <w:pStyle w:val="3"/>
      </w:pPr>
    </w:p>
    <w:p w14:paraId="53F25500"/>
    <w:p w14:paraId="1C015DFC">
      <w:pPr>
        <w:pStyle w:val="2"/>
      </w:pPr>
    </w:p>
    <w:p w14:paraId="6BDFE9EC">
      <w:pPr>
        <w:pStyle w:val="3"/>
      </w:pPr>
    </w:p>
    <w:p w14:paraId="154191AC"/>
    <w:p w14:paraId="4F47F58D">
      <w:pPr>
        <w:pStyle w:val="2"/>
      </w:pPr>
    </w:p>
    <w:p w14:paraId="6BF6EE4B">
      <w:pPr>
        <w:pStyle w:val="3"/>
      </w:pPr>
    </w:p>
    <w:p w14:paraId="6167C649"/>
    <w:p w14:paraId="6A425421">
      <w:pPr>
        <w:pStyle w:val="2"/>
      </w:pPr>
    </w:p>
    <w:p w14:paraId="6B1F0B9E">
      <w:pPr>
        <w:pStyle w:val="3"/>
      </w:pPr>
    </w:p>
    <w:p w14:paraId="55A46FD0"/>
    <w:p w14:paraId="7C70CBE4">
      <w:pPr>
        <w:pStyle w:val="2"/>
      </w:pPr>
    </w:p>
    <w:p w14:paraId="34DB407A">
      <w:pPr>
        <w:pStyle w:val="3"/>
      </w:pPr>
    </w:p>
    <w:p w14:paraId="0AF44F1A"/>
    <w:p w14:paraId="51535D6E">
      <w:pPr>
        <w:pStyle w:val="2"/>
      </w:pPr>
    </w:p>
    <w:p w14:paraId="070DF080">
      <w:pPr>
        <w:pStyle w:val="3"/>
      </w:pPr>
    </w:p>
    <w:p w14:paraId="3DAD7396"/>
    <w:p w14:paraId="5AE4A2F0"/>
    <w:p w14:paraId="4533052E">
      <w:pPr>
        <w:pStyle w:val="2"/>
      </w:pPr>
    </w:p>
    <w:p w14:paraId="363FEAB1">
      <w:pPr>
        <w:pStyle w:val="14"/>
        <w:jc w:val="both"/>
        <w:rPr>
          <w:rFonts w:hint="eastAsia" w:ascii="方正小标宋_GBK" w:hAnsi="方正小标宋_GBK" w:eastAsia="方正小标宋_GBK" w:cs="方正小标宋_GBK"/>
          <w:sz w:val="72"/>
          <w:szCs w:val="72"/>
        </w:rPr>
      </w:pPr>
    </w:p>
    <w:p w14:paraId="5CD5E77A">
      <w:pPr>
        <w:pStyle w:val="14"/>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6BC27C1C">
      <w:pPr>
        <w:pStyle w:val="14"/>
        <w:jc w:val="both"/>
        <w:rPr>
          <w:rFonts w:hint="eastAsia" w:ascii="方正小标宋_GBK" w:hAnsi="方正小标宋_GBK" w:eastAsia="方正小标宋_GBK" w:cs="方正小标宋_GBK"/>
          <w:sz w:val="70"/>
          <w:szCs w:val="70"/>
          <w:lang w:eastAsia="zh-CN"/>
        </w:rPr>
      </w:pPr>
    </w:p>
    <w:p w14:paraId="6F391302">
      <w:pPr>
        <w:pStyle w:val="14"/>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156518E8">
      <w:pPr>
        <w:ind w:firstLine="640" w:firstLineChars="200"/>
        <w:jc w:val="left"/>
        <w:rPr>
          <w:rFonts w:hint="eastAsia" w:ascii="宋体" w:hAnsi="宋体" w:eastAsia="宋体" w:cs="黑体"/>
          <w:b/>
          <w:color w:val="000000"/>
          <w:kern w:val="0"/>
          <w:sz w:val="32"/>
          <w:szCs w:val="32"/>
          <w:lang w:val="en-US" w:eastAsia="zh-CN"/>
        </w:rPr>
      </w:pPr>
    </w:p>
    <w:p w14:paraId="7EB458D0">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14:paraId="34BAD84E">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14:paraId="10BAB0DA"/>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8080F95D">
    <w:panose1 w:val="020B0503020204020204"/>
    <w:charset w:val="86"/>
    <w:family w:val="auto"/>
    <w:pitch w:val="default"/>
    <w:sig w:usb0="00000001" w:usb1="00000000" w:usb2="00000000" w:usb3="00000000" w:csb0="00040001" w:csb1="00000000"/>
  </w:font>
  <w:font w:name="KSOF557087D0">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0ZmZhYjQ5ZWIyNWQ1MDk1ZGZjZmI4NGExNWQyMmU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820350"/>
    <w:rsid w:val="059958AD"/>
    <w:rsid w:val="06C857E7"/>
    <w:rsid w:val="08C24A73"/>
    <w:rsid w:val="11944E2C"/>
    <w:rsid w:val="12583BA5"/>
    <w:rsid w:val="13685117"/>
    <w:rsid w:val="13BA5B9C"/>
    <w:rsid w:val="15EF3AF7"/>
    <w:rsid w:val="1D97DEFF"/>
    <w:rsid w:val="1DFF72E5"/>
    <w:rsid w:val="1EFC6F07"/>
    <w:rsid w:val="1F0527A6"/>
    <w:rsid w:val="1F967F9F"/>
    <w:rsid w:val="22A16179"/>
    <w:rsid w:val="22AC03C2"/>
    <w:rsid w:val="231370D8"/>
    <w:rsid w:val="235F304B"/>
    <w:rsid w:val="283B15FE"/>
    <w:rsid w:val="2C6D6452"/>
    <w:rsid w:val="2D8D5C78"/>
    <w:rsid w:val="2E232138"/>
    <w:rsid w:val="2F3E547B"/>
    <w:rsid w:val="2FDF85B8"/>
    <w:rsid w:val="2FFFEE04"/>
    <w:rsid w:val="30E47124"/>
    <w:rsid w:val="31C95635"/>
    <w:rsid w:val="335C2374"/>
    <w:rsid w:val="34DF85B0"/>
    <w:rsid w:val="36BC1E9B"/>
    <w:rsid w:val="3761641C"/>
    <w:rsid w:val="3B8F36BC"/>
    <w:rsid w:val="3D626156"/>
    <w:rsid w:val="4044666A"/>
    <w:rsid w:val="43EB5BA5"/>
    <w:rsid w:val="454669E0"/>
    <w:rsid w:val="45F621B4"/>
    <w:rsid w:val="491FF225"/>
    <w:rsid w:val="4CC51AC6"/>
    <w:rsid w:val="4EC310A1"/>
    <w:rsid w:val="4FFD214C"/>
    <w:rsid w:val="5352765A"/>
    <w:rsid w:val="55B003E1"/>
    <w:rsid w:val="5777D4F5"/>
    <w:rsid w:val="57EBA9D6"/>
    <w:rsid w:val="57F22B6F"/>
    <w:rsid w:val="58533496"/>
    <w:rsid w:val="59AC7302"/>
    <w:rsid w:val="59DD8326"/>
    <w:rsid w:val="5A2F26C7"/>
    <w:rsid w:val="5DEF592A"/>
    <w:rsid w:val="5FC6BB1E"/>
    <w:rsid w:val="5FF720F1"/>
    <w:rsid w:val="622964C1"/>
    <w:rsid w:val="629628FD"/>
    <w:rsid w:val="6712276E"/>
    <w:rsid w:val="67FF5C0B"/>
    <w:rsid w:val="6BAA4A2F"/>
    <w:rsid w:val="6DDEC5C0"/>
    <w:rsid w:val="6EFC0924"/>
    <w:rsid w:val="6F0E7CBF"/>
    <w:rsid w:val="6F9E8580"/>
    <w:rsid w:val="6FB74722"/>
    <w:rsid w:val="6FEF8B7E"/>
    <w:rsid w:val="70FF330F"/>
    <w:rsid w:val="717FE77F"/>
    <w:rsid w:val="71A6591B"/>
    <w:rsid w:val="71DB1B20"/>
    <w:rsid w:val="737D59BA"/>
    <w:rsid w:val="737F32B1"/>
    <w:rsid w:val="73BD3FCA"/>
    <w:rsid w:val="776BDA01"/>
    <w:rsid w:val="77C37683"/>
    <w:rsid w:val="78D925AB"/>
    <w:rsid w:val="78E916CE"/>
    <w:rsid w:val="79FF515B"/>
    <w:rsid w:val="7DFBFF20"/>
    <w:rsid w:val="7E9E1962"/>
    <w:rsid w:val="7E9F11B4"/>
    <w:rsid w:val="7F37EC1E"/>
    <w:rsid w:val="7F7C0DDA"/>
    <w:rsid w:val="7F7DCD9D"/>
    <w:rsid w:val="7F970A6F"/>
    <w:rsid w:val="7FC1FFF3"/>
    <w:rsid w:val="7FC69637"/>
    <w:rsid w:val="7FDF8620"/>
    <w:rsid w:val="7FFB242F"/>
    <w:rsid w:val="7FFDB408"/>
    <w:rsid w:val="7FFE4EEB"/>
    <w:rsid w:val="95FB2B98"/>
    <w:rsid w:val="9A639BC2"/>
    <w:rsid w:val="9FF7D786"/>
    <w:rsid w:val="ABBFB23D"/>
    <w:rsid w:val="B6BE5A03"/>
    <w:rsid w:val="B8C93228"/>
    <w:rsid w:val="C3B4DA5A"/>
    <w:rsid w:val="C4FF458C"/>
    <w:rsid w:val="C7BBD038"/>
    <w:rsid w:val="CBFF70E0"/>
    <w:rsid w:val="CFF50B82"/>
    <w:rsid w:val="CFFFAD89"/>
    <w:rsid w:val="DFFE359E"/>
    <w:rsid w:val="DFFE4FFD"/>
    <w:rsid w:val="DFFF5403"/>
    <w:rsid w:val="EBC3E00A"/>
    <w:rsid w:val="EDFBE100"/>
    <w:rsid w:val="EEABED75"/>
    <w:rsid w:val="EF7E8003"/>
    <w:rsid w:val="F56FDF51"/>
    <w:rsid w:val="F5F3EE78"/>
    <w:rsid w:val="F6B69F17"/>
    <w:rsid w:val="F6E5BB3A"/>
    <w:rsid w:val="F77F1D61"/>
    <w:rsid w:val="F7C36722"/>
    <w:rsid w:val="F7FED3A9"/>
    <w:rsid w:val="F8C9DB26"/>
    <w:rsid w:val="F97E8EAE"/>
    <w:rsid w:val="FB36E1A6"/>
    <w:rsid w:val="FB3BE134"/>
    <w:rsid w:val="FCFF4275"/>
    <w:rsid w:val="FD7FEEEA"/>
    <w:rsid w:val="FDFFB577"/>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next w:val="6"/>
    <w:semiHidden/>
    <w:qFormat/>
    <w:uiPriority w:val="0"/>
    <w:rPr>
      <w:rFonts w:ascii="仿宋" w:hAnsi="仿宋" w:eastAsia="仿宋" w:cs="仿宋"/>
      <w:sz w:val="31"/>
      <w:szCs w:val="31"/>
      <w:lang w:val="en-US" w:eastAsia="en-US" w:bidi="ar-SA"/>
    </w:rPr>
  </w:style>
  <w:style w:type="paragraph" w:styleId="6">
    <w:name w:val="toc 5"/>
    <w:basedOn w:val="1"/>
    <w:next w:val="1"/>
    <w:qFormat/>
    <w:uiPriority w:val="0"/>
    <w:pPr>
      <w:ind w:left="1680" w:leftChars="800"/>
    </w:pPr>
  </w:style>
  <w:style w:type="paragraph" w:styleId="7">
    <w:name w:val="Balloon Text"/>
    <w:basedOn w:val="1"/>
    <w:link w:val="16"/>
    <w:semiHidden/>
    <w:unhideWhenUsed/>
    <w:qFormat/>
    <w:uiPriority w:val="99"/>
    <w:rPr>
      <w:sz w:val="18"/>
      <w:szCs w:val="18"/>
    </w:rPr>
  </w:style>
  <w:style w:type="paragraph" w:styleId="8">
    <w:name w:val="footer"/>
    <w:basedOn w:val="1"/>
    <w:link w:val="13"/>
    <w:unhideWhenUsed/>
    <w:qFormat/>
    <w:uiPriority w:val="99"/>
    <w:pPr>
      <w:tabs>
        <w:tab w:val="center" w:pos="4153"/>
        <w:tab w:val="right" w:pos="8306"/>
      </w:tabs>
      <w:snapToGrid w:val="0"/>
      <w:jc w:val="left"/>
    </w:pPr>
    <w:rPr>
      <w:sz w:val="18"/>
      <w:szCs w:val="18"/>
    </w:rPr>
  </w:style>
  <w:style w:type="paragraph" w:styleId="9">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2">
    <w:name w:val="页眉 Char"/>
    <w:basedOn w:val="11"/>
    <w:link w:val="9"/>
    <w:qFormat/>
    <w:uiPriority w:val="99"/>
    <w:rPr>
      <w:sz w:val="18"/>
      <w:szCs w:val="18"/>
    </w:rPr>
  </w:style>
  <w:style w:type="character" w:customStyle="1" w:styleId="13">
    <w:name w:val="页脚 Char"/>
    <w:basedOn w:val="11"/>
    <w:link w:val="8"/>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7"/>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17</Pages>
  <Words>6033</Words>
  <Characters>6625</Characters>
  <Lines>63</Lines>
  <Paragraphs>18</Paragraphs>
  <TotalTime>2</TotalTime>
  <ScaleCrop>false</ScaleCrop>
  <LinksUpToDate>false</LinksUpToDate>
  <CharactersWithSpaces>6647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2020-07-11T10:32:00Z</dcterms:created>
  <dc:creator>李航 null</dc:creator>
  <cp:lastModifiedBy>YY</cp:lastModifiedBy>
  <cp:lastPrinted>2024-08-11T18:20:00Z</cp:lastPrinted>
  <dcterms:modified xsi:type="dcterms:W3CDTF">2026-10-08T06:32:41Z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68DFD8F4D1CF4229BB10DF79DD5C262E</vt:lpwstr>
  </property>
  <property fmtid="{D5CDD505-2E9C-101B-9397-08002B2CF9AE}" pid="4" name="KSOTemplateDocerSaveRecord">
    <vt:lpwstr>eyJoZGlkIjoiZTIwYjE2NzhkNDM2Y2Y5NzI2YzFkODFmZGY5MzM4MWUiLCJ1c2VySWQiOiI0OTYzNTAzMzUifQ==</vt:lpwstr>
  </property>
</Properties>
</file>