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8C14D">
      <w:pPr>
        <w:pStyle w:val="14"/>
        <w:jc w:val="center"/>
        <w:rPr>
          <w:sz w:val="56"/>
          <w:szCs w:val="56"/>
        </w:rPr>
      </w:pPr>
    </w:p>
    <w:p w14:paraId="3B2004BB">
      <w:pPr>
        <w:pStyle w:val="14"/>
        <w:jc w:val="center"/>
        <w:rPr>
          <w:sz w:val="56"/>
          <w:szCs w:val="56"/>
        </w:rPr>
      </w:pPr>
    </w:p>
    <w:p w14:paraId="1C05C66E">
      <w:pPr>
        <w:pStyle w:val="14"/>
        <w:jc w:val="center"/>
        <w:rPr>
          <w:sz w:val="84"/>
          <w:szCs w:val="84"/>
        </w:rPr>
      </w:pPr>
    </w:p>
    <w:p w14:paraId="39394F2A">
      <w:pPr>
        <w:pStyle w:val="14"/>
        <w:jc w:val="center"/>
        <w:rPr>
          <w:sz w:val="84"/>
          <w:szCs w:val="84"/>
        </w:rPr>
      </w:pPr>
    </w:p>
    <w:p w14:paraId="3F26BD1F">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2A7F32E6">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岳阳市市政维护管理中心部门决算</w:t>
      </w:r>
    </w:p>
    <w:p w14:paraId="613FA748">
      <w:pPr>
        <w:pStyle w:val="14"/>
        <w:jc w:val="center"/>
        <w:rPr>
          <w:sz w:val="56"/>
          <w:szCs w:val="56"/>
        </w:rPr>
      </w:pPr>
    </w:p>
    <w:p w14:paraId="059D897F">
      <w:pPr>
        <w:pStyle w:val="14"/>
        <w:jc w:val="center"/>
        <w:rPr>
          <w:sz w:val="56"/>
          <w:szCs w:val="56"/>
        </w:rPr>
      </w:pPr>
    </w:p>
    <w:p w14:paraId="0E9EFC73">
      <w:pPr>
        <w:pStyle w:val="14"/>
        <w:jc w:val="center"/>
        <w:rPr>
          <w:sz w:val="56"/>
          <w:szCs w:val="56"/>
        </w:rPr>
      </w:pPr>
    </w:p>
    <w:p w14:paraId="1272772B">
      <w:pPr>
        <w:pStyle w:val="14"/>
        <w:jc w:val="center"/>
        <w:rPr>
          <w:sz w:val="56"/>
          <w:szCs w:val="56"/>
        </w:rPr>
      </w:pPr>
    </w:p>
    <w:p w14:paraId="1555A8A3">
      <w:pPr>
        <w:pStyle w:val="14"/>
        <w:jc w:val="center"/>
        <w:rPr>
          <w:sz w:val="56"/>
          <w:szCs w:val="56"/>
        </w:rPr>
      </w:pPr>
    </w:p>
    <w:p w14:paraId="4F9B68DD">
      <w:pPr>
        <w:pStyle w:val="14"/>
        <w:jc w:val="center"/>
        <w:rPr>
          <w:sz w:val="56"/>
          <w:szCs w:val="56"/>
        </w:rPr>
      </w:pPr>
    </w:p>
    <w:p w14:paraId="34DEFAF8">
      <w:pPr>
        <w:pStyle w:val="14"/>
        <w:jc w:val="both"/>
        <w:rPr>
          <w:sz w:val="32"/>
          <w:szCs w:val="32"/>
        </w:rPr>
      </w:pPr>
    </w:p>
    <w:p w14:paraId="665BD41A">
      <w:pPr>
        <w:pStyle w:val="14"/>
        <w:spacing w:line="500" w:lineRule="exact"/>
        <w:jc w:val="center"/>
        <w:rPr>
          <w:b/>
          <w:sz w:val="36"/>
          <w:szCs w:val="28"/>
        </w:rPr>
      </w:pPr>
      <w:r>
        <w:rPr>
          <w:rFonts w:hint="eastAsia"/>
          <w:b/>
          <w:sz w:val="36"/>
          <w:szCs w:val="28"/>
        </w:rPr>
        <w:t>目录</w:t>
      </w:r>
    </w:p>
    <w:p w14:paraId="56A62420">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岳阳市市政维护管理中心</w:t>
      </w:r>
      <w:r>
        <w:rPr>
          <w:rFonts w:hint="eastAsia" w:ascii="黑体" w:hAnsi="黑体" w:eastAsia="黑体" w:cs="黑体"/>
          <w:b w:val="0"/>
          <w:bCs/>
          <w:sz w:val="28"/>
          <w:szCs w:val="28"/>
        </w:rPr>
        <w:t>概况</w:t>
      </w:r>
    </w:p>
    <w:p w14:paraId="069F2244">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4EE57928">
      <w:pPr>
        <w:pStyle w:val="14"/>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151FC844">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2398A611">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084157B5">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70D253E4">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5345C0B6">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7434EF0F">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7D6B69A5">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3A3DDDF3">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3E873A06">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8A10D97">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60E2A3F9">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329ACFBA">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5FAD4479">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D2BE15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8780E2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5785ABA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4C23B87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7B990509">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112AABC4">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2C492789">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47119A8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208DC42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2EDB4D24">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49BD6A7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409ED4C6">
      <w:pPr>
        <w:pStyle w:val="14"/>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32A2B9DC">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621DD462">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0B653C28">
      <w:pPr>
        <w:pStyle w:val="14"/>
        <w:jc w:val="center"/>
        <w:rPr>
          <w:rFonts w:hint="eastAsia" w:ascii="方正小标宋_GBK" w:hAnsi="方正小标宋_GBK" w:eastAsia="方正小标宋_GBK" w:cs="方正小标宋_GBK"/>
          <w:sz w:val="84"/>
          <w:szCs w:val="84"/>
        </w:rPr>
      </w:pPr>
    </w:p>
    <w:p w14:paraId="7A2AFEF5">
      <w:pPr>
        <w:pStyle w:val="14"/>
        <w:jc w:val="center"/>
        <w:rPr>
          <w:rFonts w:hint="eastAsia" w:ascii="方正小标宋_GBK" w:hAnsi="方正小标宋_GBK" w:eastAsia="方正小标宋_GBK" w:cs="方正小标宋_GBK"/>
          <w:sz w:val="84"/>
          <w:szCs w:val="84"/>
        </w:rPr>
      </w:pPr>
    </w:p>
    <w:p w14:paraId="17133BEC">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6D66A85C">
      <w:pPr>
        <w:pStyle w:val="14"/>
        <w:jc w:val="center"/>
        <w:rPr>
          <w:rFonts w:hint="eastAsia" w:ascii="方正小标宋_GBK" w:hAnsi="方正小标宋_GBK" w:eastAsia="方正小标宋_GBK" w:cs="方正小标宋_GBK"/>
          <w:sz w:val="84"/>
          <w:szCs w:val="84"/>
        </w:rPr>
      </w:pPr>
    </w:p>
    <w:p w14:paraId="5F024CB8">
      <w:pPr>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岳阳市市政维护管理中心</w:t>
      </w:r>
    </w:p>
    <w:p w14:paraId="2F15DD69">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概况</w:t>
      </w:r>
    </w:p>
    <w:p w14:paraId="1CAF2BE9">
      <w:pPr>
        <w:pStyle w:val="2"/>
        <w:rPr>
          <w:rFonts w:hint="eastAsia" w:ascii="方正小标宋_GBK" w:hAnsi="方正小标宋_GBK" w:eastAsia="方正小标宋_GBK" w:cs="方正小标宋_GBK"/>
          <w:sz w:val="84"/>
          <w:szCs w:val="84"/>
        </w:rPr>
      </w:pPr>
    </w:p>
    <w:p w14:paraId="0DBCF2C8">
      <w:pPr>
        <w:pStyle w:val="3"/>
        <w:rPr>
          <w:rFonts w:hint="eastAsia" w:ascii="方正小标宋_GBK" w:hAnsi="方正小标宋_GBK" w:eastAsia="方正小标宋_GBK" w:cs="方正小标宋_GBK"/>
          <w:sz w:val="84"/>
          <w:szCs w:val="84"/>
        </w:rPr>
      </w:pPr>
    </w:p>
    <w:p w14:paraId="6BCFFB8A">
      <w:pPr>
        <w:rPr>
          <w:rFonts w:hint="eastAsia" w:ascii="方正小标宋_GBK" w:hAnsi="方正小标宋_GBK" w:eastAsia="方正小标宋_GBK" w:cs="方正小标宋_GBK"/>
          <w:sz w:val="84"/>
          <w:szCs w:val="84"/>
        </w:rPr>
      </w:pPr>
    </w:p>
    <w:p w14:paraId="6ABB819B">
      <w:pPr>
        <w:pStyle w:val="2"/>
        <w:rPr>
          <w:rFonts w:hint="eastAsia" w:ascii="方正小标宋_GBK" w:hAnsi="方正小标宋_GBK" w:eastAsia="方正小标宋_GBK" w:cs="方正小标宋_GBK"/>
          <w:sz w:val="84"/>
          <w:szCs w:val="84"/>
        </w:rPr>
      </w:pPr>
    </w:p>
    <w:p w14:paraId="429E283E">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2FB031A8">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（一）负责宣传和贯彻执行国家、省有关城市市政设施维护管理的法律、法规和规章；参与本市市政设施管理和养护规范性文件的起草以及市政设施维护发展规划的制定。</w:t>
      </w:r>
    </w:p>
    <w:p w14:paraId="7EF2B2E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（二）负责组织与管理本城市市政基础设施（道路、桥梁隧道、泵房、排水涵洞、人行道、人行天桥、人行地下通道等）的日常管理、设施监测、检测及维修与养护，确保市政设施整齐完好。</w:t>
      </w:r>
    </w:p>
    <w:p w14:paraId="0F92A1C9">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负责管理城市市政维护行业标准及其工程施工的质量、进度、安全和市政维护技术标准，并监督执行：负责市政工程质量检测；参与新建市政工程移交、接管工作；根据职责分工参与本城市环境综合整治、创建文明卫生城市和市容管理等工作。</w:t>
      </w:r>
    </w:p>
    <w:p w14:paraId="44BF2AA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（四）负责本城市市政设施维修、改造计划及资金计划的编制；负责组织与管理本城市市政工程设施的大、中修和配套建设负责破占道恢复工作。</w:t>
      </w:r>
    </w:p>
    <w:p w14:paraId="1151CBD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（五）参与本城市排涝、排渍；负责城区雨污水排放、水质水量监测、监控。</w:t>
      </w:r>
    </w:p>
    <w:p w14:paraId="5ED51DE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（六）负责本单位工程机械、车辆、设备的管理，确保安全运行。</w:t>
      </w:r>
    </w:p>
    <w:p w14:paraId="21EA8BC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（七）负责市政应急指挥（处理）中心的日常工作：负责涉及市政设施方面的城市防汛、防台风、抗冰雪灾害等突发应急事件的组织和协调。</w:t>
      </w:r>
    </w:p>
    <w:p w14:paraId="4B765AE0">
      <w:pPr>
        <w:keepNext/>
        <w:keepLines/>
        <w:shd w:val="clear" w:color="auto" w:fill="FFFFFF"/>
        <w:spacing w:beforeLines="0" w:afterLines="0"/>
        <w:ind w:firstLine="640"/>
        <w:jc w:val="left"/>
        <w:rPr>
          <w:rFonts w:hint="eastAsia" w:ascii="Times New Roman" w:hAnsi="Times New Roman" w:eastAsia="仿宋_GB2312" w:cs="仿宋_GB2312"/>
          <w:sz w:val="32"/>
          <w:szCs w:val="32"/>
        </w:rPr>
      </w:pPr>
      <w:r>
        <w:rPr>
          <w:rFonts w:hint="eastAsia" w:ascii="仿宋_GB2312" w:hAnsi="仿宋_GB2312" w:eastAsia="仿宋_GB2312" w:cs="仿宋_GB2312"/>
          <w:sz w:val="32"/>
          <w:szCs w:val="32"/>
          <w:lang w:val="en-US" w:eastAsia="zh-CN"/>
        </w:rPr>
        <w:t>（八）承办市委市政府和主管部门交办的其他工作。</w:t>
      </w:r>
    </w:p>
    <w:p w14:paraId="1D7D8FDF">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552D45C8">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14:paraId="68BEF6AE">
      <w:pPr>
        <w:widowControl/>
        <w:spacing w:line="600" w:lineRule="exact"/>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我中心设6个内设机构：综合部、财务内审部、人事部、安全技术部、计划服务部、信息考评部；下设5个副科级分支机构：市政道路桥梁管理所、市政排水泵站管理所、市政设备管理所、市政维护科研所、城陵矶新港区管理所。</w:t>
      </w:r>
    </w:p>
    <w:p w14:paraId="410B8E7D">
      <w:pPr>
        <w:widowControl/>
        <w:numPr>
          <w:ilvl w:val="0"/>
          <w:numId w:val="2"/>
        </w:numPr>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14:paraId="6F74132A">
      <w:pPr>
        <w:widowControl/>
        <w:numPr>
          <w:ilvl w:val="0"/>
          <w:numId w:val="0"/>
        </w:numPr>
        <w:spacing w:line="600" w:lineRule="exact"/>
        <w:ind w:firstLine="640" w:firstLineChars="200"/>
        <w:rPr>
          <w:rFonts w:hint="eastAsia" w:ascii="Times New Roman" w:hAnsi="Times New Roman" w:eastAsia="仿宋_GB2312" w:cs="仿宋_GB2312"/>
          <w:bCs/>
          <w:kern w:val="0"/>
          <w:sz w:val="32"/>
          <w:szCs w:val="32"/>
        </w:rPr>
      </w:pPr>
      <w:r>
        <w:rPr>
          <w:rFonts w:hint="eastAsia" w:ascii="仿宋_GB2312" w:hAnsi="仿宋_GB2312" w:eastAsia="仿宋_GB2312" w:cs="仿宋_GB2312"/>
          <w:color w:val="000000"/>
          <w:kern w:val="0"/>
          <w:sz w:val="32"/>
          <w:szCs w:val="32"/>
          <w:lang w:val="en-US" w:eastAsia="zh-CN" w:bidi="ar-SA"/>
        </w:rPr>
        <w:t>本单位无独立核算的下属单位，2025年度部门决算汇总公开单位仅包括</w:t>
      </w:r>
      <w:r>
        <w:rPr>
          <w:rFonts w:hint="eastAsia" w:ascii="仿宋_GB2312" w:hAnsi="仿宋_GB2312" w:eastAsia="仿宋_GB2312" w:cs="仿宋_GB2312"/>
          <w:color w:val="000000"/>
          <w:kern w:val="0"/>
          <w:sz w:val="32"/>
          <w:szCs w:val="32"/>
          <w:lang w:val="zh-CN" w:eastAsia="zh-CN" w:bidi="ar-SA"/>
        </w:rPr>
        <w:t>岳阳市市政维护管理中心</w:t>
      </w:r>
      <w:r>
        <w:rPr>
          <w:rFonts w:hint="eastAsia" w:ascii="仿宋_GB2312" w:hAnsi="仿宋_GB2312" w:eastAsia="仿宋_GB2312" w:cs="仿宋_GB2312"/>
          <w:color w:val="000000"/>
          <w:kern w:val="0"/>
          <w:sz w:val="32"/>
          <w:szCs w:val="32"/>
          <w:lang w:val="en-US" w:eastAsia="zh-CN" w:bidi="ar-SA"/>
        </w:rPr>
        <w:t>本级。</w:t>
      </w:r>
    </w:p>
    <w:p w14:paraId="393444AF"/>
    <w:p w14:paraId="3DC23891">
      <w:pPr>
        <w:pStyle w:val="2"/>
      </w:pPr>
    </w:p>
    <w:p w14:paraId="32211659">
      <w:pPr>
        <w:pStyle w:val="3"/>
      </w:pPr>
    </w:p>
    <w:p w14:paraId="06DF76F8"/>
    <w:p w14:paraId="41742F17">
      <w:pPr>
        <w:pStyle w:val="2"/>
      </w:pPr>
    </w:p>
    <w:p w14:paraId="5ACD1D24">
      <w:pPr>
        <w:pStyle w:val="3"/>
      </w:pPr>
    </w:p>
    <w:p w14:paraId="4ECBAFB1"/>
    <w:p w14:paraId="7C81C220">
      <w:pPr>
        <w:pStyle w:val="2"/>
      </w:pPr>
    </w:p>
    <w:p w14:paraId="5DC54FF9">
      <w:pPr>
        <w:pStyle w:val="3"/>
      </w:pPr>
    </w:p>
    <w:p w14:paraId="0130C39A"/>
    <w:p w14:paraId="27EDC560">
      <w:pPr>
        <w:pStyle w:val="2"/>
      </w:pPr>
    </w:p>
    <w:p w14:paraId="7602424A">
      <w:pPr>
        <w:pStyle w:val="3"/>
      </w:pPr>
    </w:p>
    <w:p w14:paraId="6253A7D7"/>
    <w:p w14:paraId="4BCC8B10">
      <w:pPr>
        <w:pStyle w:val="2"/>
      </w:pPr>
    </w:p>
    <w:p w14:paraId="4158022E">
      <w:pPr>
        <w:pStyle w:val="3"/>
      </w:pPr>
    </w:p>
    <w:p w14:paraId="6031CA2E"/>
    <w:p w14:paraId="5F0B9548">
      <w:pPr>
        <w:pStyle w:val="2"/>
      </w:pPr>
    </w:p>
    <w:p w14:paraId="0EB482F8">
      <w:pPr>
        <w:pStyle w:val="3"/>
      </w:pPr>
    </w:p>
    <w:p w14:paraId="58FD73ED"/>
    <w:p w14:paraId="4FE8CA76">
      <w:pPr>
        <w:pStyle w:val="2"/>
      </w:pPr>
    </w:p>
    <w:p w14:paraId="600E3994">
      <w:pPr>
        <w:pStyle w:val="3"/>
      </w:pPr>
    </w:p>
    <w:p w14:paraId="125A3C9E"/>
    <w:p w14:paraId="113A45E3">
      <w:pPr>
        <w:pStyle w:val="2"/>
      </w:pPr>
    </w:p>
    <w:p w14:paraId="477270D4">
      <w:pPr>
        <w:pStyle w:val="3"/>
      </w:pPr>
    </w:p>
    <w:p w14:paraId="031AC13B"/>
    <w:p w14:paraId="3849A7D2">
      <w:pPr>
        <w:pStyle w:val="14"/>
        <w:jc w:val="center"/>
        <w:rPr>
          <w:rFonts w:hint="eastAsia" w:ascii="方正小标宋_GBK" w:hAnsi="方正小标宋_GBK" w:eastAsia="方正小标宋_GBK" w:cs="方正小标宋_GBK"/>
          <w:sz w:val="84"/>
          <w:szCs w:val="84"/>
        </w:rPr>
      </w:pPr>
    </w:p>
    <w:p w14:paraId="53405535">
      <w:pPr>
        <w:pStyle w:val="14"/>
        <w:jc w:val="center"/>
        <w:rPr>
          <w:rFonts w:hint="eastAsia" w:ascii="方正小标宋_GBK" w:hAnsi="方正小标宋_GBK" w:eastAsia="方正小标宋_GBK" w:cs="方正小标宋_GBK"/>
          <w:sz w:val="84"/>
          <w:szCs w:val="84"/>
        </w:rPr>
      </w:pPr>
    </w:p>
    <w:p w14:paraId="0611059B">
      <w:pPr>
        <w:pStyle w:val="14"/>
        <w:jc w:val="center"/>
        <w:rPr>
          <w:rFonts w:hint="eastAsia" w:ascii="方正小标宋_GBK" w:hAnsi="方正小标宋_GBK" w:eastAsia="方正小标宋_GBK" w:cs="方正小标宋_GBK"/>
          <w:sz w:val="84"/>
          <w:szCs w:val="84"/>
        </w:rPr>
      </w:pPr>
    </w:p>
    <w:p w14:paraId="73BE374E">
      <w:pPr>
        <w:pStyle w:val="14"/>
        <w:jc w:val="center"/>
        <w:rPr>
          <w:rFonts w:hint="eastAsia" w:ascii="方正小标宋_GBK" w:hAnsi="方正小标宋_GBK" w:eastAsia="方正小标宋_GBK" w:cs="方正小标宋_GBK"/>
          <w:sz w:val="84"/>
          <w:szCs w:val="84"/>
        </w:rPr>
      </w:pPr>
    </w:p>
    <w:p w14:paraId="35FAB08F">
      <w:pPr>
        <w:pStyle w:val="14"/>
        <w:jc w:val="center"/>
        <w:rPr>
          <w:rFonts w:hint="eastAsia" w:ascii="方正小标宋_GBK" w:hAnsi="方正小标宋_GBK" w:eastAsia="方正小标宋_GBK" w:cs="方正小标宋_GBK"/>
          <w:sz w:val="84"/>
          <w:szCs w:val="84"/>
        </w:rPr>
      </w:pPr>
    </w:p>
    <w:p w14:paraId="3426F750">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1A69FC8">
      <w:pPr>
        <w:pStyle w:val="14"/>
        <w:jc w:val="center"/>
        <w:rPr>
          <w:rFonts w:hint="eastAsia" w:ascii="方正小标宋_GBK" w:hAnsi="方正小标宋_GBK" w:eastAsia="方正小标宋_GBK" w:cs="方正小标宋_GBK"/>
          <w:sz w:val="84"/>
          <w:szCs w:val="84"/>
        </w:rPr>
      </w:pPr>
    </w:p>
    <w:p w14:paraId="23BE064F">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7C25552E">
      <w:pPr>
        <w:pStyle w:val="14"/>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2D14017F">
      <w:pPr>
        <w:pStyle w:val="14"/>
        <w:jc w:val="center"/>
        <w:rPr>
          <w:rFonts w:hint="eastAsia" w:ascii="仿宋_GB2312" w:hAnsi="仿宋_GB2312" w:eastAsia="仿宋_GB2312" w:cs="仿宋_GB2312"/>
          <w:b w:val="0"/>
          <w:bCs w:val="0"/>
          <w:sz w:val="72"/>
          <w:szCs w:val="72"/>
          <w:lang w:eastAsia="zh-CN"/>
        </w:rPr>
      </w:pPr>
    </w:p>
    <w:p w14:paraId="42E9A9B4">
      <w:pPr>
        <w:pStyle w:val="14"/>
        <w:jc w:val="center"/>
        <w:rPr>
          <w:rFonts w:hint="eastAsia" w:ascii="仿宋_GB2312" w:hAnsi="仿宋_GB2312" w:eastAsia="仿宋_GB2312" w:cs="仿宋_GB2312"/>
          <w:b w:val="0"/>
          <w:bCs w:val="0"/>
          <w:sz w:val="72"/>
          <w:szCs w:val="72"/>
          <w:lang w:eastAsia="zh-CN"/>
        </w:rPr>
      </w:pPr>
    </w:p>
    <w:p w14:paraId="17C1D039">
      <w:pPr>
        <w:pStyle w:val="14"/>
        <w:jc w:val="center"/>
        <w:rPr>
          <w:rFonts w:hint="eastAsia" w:ascii="仿宋_GB2312" w:hAnsi="仿宋_GB2312" w:eastAsia="仿宋_GB2312" w:cs="仿宋_GB2312"/>
          <w:b w:val="0"/>
          <w:bCs w:val="0"/>
          <w:sz w:val="72"/>
          <w:szCs w:val="72"/>
          <w:lang w:eastAsia="zh-CN"/>
        </w:rPr>
      </w:pPr>
    </w:p>
    <w:p w14:paraId="4C41F581">
      <w:pPr>
        <w:pStyle w:val="14"/>
        <w:jc w:val="center"/>
        <w:rPr>
          <w:rFonts w:hint="eastAsia" w:ascii="仿宋_GB2312" w:hAnsi="仿宋_GB2312" w:eastAsia="仿宋_GB2312" w:cs="仿宋_GB2312"/>
          <w:b w:val="0"/>
          <w:bCs w:val="0"/>
          <w:sz w:val="72"/>
          <w:szCs w:val="72"/>
          <w:lang w:eastAsia="zh-CN"/>
        </w:rPr>
      </w:pPr>
    </w:p>
    <w:p w14:paraId="3A8DA697">
      <w:pPr>
        <w:pStyle w:val="14"/>
        <w:jc w:val="center"/>
        <w:rPr>
          <w:rFonts w:hint="eastAsia" w:ascii="仿宋_GB2312" w:hAnsi="仿宋_GB2312" w:eastAsia="仿宋_GB2312" w:cs="仿宋_GB2312"/>
          <w:b w:val="0"/>
          <w:bCs w:val="0"/>
          <w:sz w:val="72"/>
          <w:szCs w:val="72"/>
          <w:lang w:eastAsia="zh-CN"/>
        </w:rPr>
      </w:pPr>
    </w:p>
    <w:p w14:paraId="637C6D89">
      <w:pPr>
        <w:pStyle w:val="14"/>
        <w:jc w:val="center"/>
        <w:rPr>
          <w:rFonts w:hint="eastAsia" w:ascii="仿宋_GB2312" w:hAnsi="仿宋_GB2312" w:eastAsia="仿宋_GB2312" w:cs="仿宋_GB2312"/>
          <w:b w:val="0"/>
          <w:bCs w:val="0"/>
          <w:sz w:val="72"/>
          <w:szCs w:val="72"/>
          <w:lang w:eastAsia="zh-CN"/>
        </w:rPr>
      </w:pPr>
    </w:p>
    <w:p w14:paraId="452D9C27">
      <w:pPr>
        <w:pStyle w:val="14"/>
        <w:jc w:val="center"/>
        <w:rPr>
          <w:rFonts w:hint="eastAsia" w:ascii="仿宋_GB2312" w:hAnsi="仿宋_GB2312" w:eastAsia="仿宋_GB2312" w:cs="仿宋_GB2312"/>
          <w:b w:val="0"/>
          <w:bCs w:val="0"/>
          <w:sz w:val="72"/>
          <w:szCs w:val="72"/>
          <w:lang w:eastAsia="zh-CN"/>
        </w:rPr>
      </w:pPr>
    </w:p>
    <w:p w14:paraId="492E7BC9">
      <w:pPr>
        <w:pStyle w:val="14"/>
        <w:jc w:val="center"/>
        <w:rPr>
          <w:rFonts w:hint="eastAsia" w:ascii="方正小标宋_GBK" w:hAnsi="方正小标宋_GBK" w:eastAsia="方正小标宋_GBK" w:cs="方正小标宋_GBK"/>
          <w:sz w:val="72"/>
          <w:szCs w:val="72"/>
        </w:rPr>
      </w:pPr>
    </w:p>
    <w:p w14:paraId="6B80F3AB">
      <w:pPr>
        <w:pStyle w:val="14"/>
        <w:jc w:val="center"/>
        <w:rPr>
          <w:rFonts w:hint="eastAsia" w:ascii="方正小标宋_GBK" w:hAnsi="方正小标宋_GBK" w:eastAsia="方正小标宋_GBK" w:cs="方正小标宋_GBK"/>
          <w:sz w:val="72"/>
          <w:szCs w:val="72"/>
        </w:rPr>
      </w:pPr>
    </w:p>
    <w:p w14:paraId="2C9EAFC3">
      <w:pPr>
        <w:pStyle w:val="14"/>
        <w:jc w:val="both"/>
        <w:rPr>
          <w:rFonts w:hint="eastAsia" w:ascii="方正小标宋_GBK" w:hAnsi="方正小标宋_GBK" w:eastAsia="方正小标宋_GBK" w:cs="方正小标宋_GBK"/>
          <w:sz w:val="72"/>
          <w:szCs w:val="72"/>
        </w:rPr>
      </w:pPr>
    </w:p>
    <w:p w14:paraId="1DED87D8">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166280C">
      <w:pPr>
        <w:pStyle w:val="14"/>
        <w:jc w:val="center"/>
        <w:rPr>
          <w:rFonts w:hint="eastAsia" w:ascii="方正小标宋_GBK" w:hAnsi="方正小标宋_GBK" w:eastAsia="方正小标宋_GBK" w:cs="方正小标宋_GBK"/>
          <w:sz w:val="70"/>
          <w:szCs w:val="70"/>
        </w:rPr>
      </w:pPr>
    </w:p>
    <w:p w14:paraId="44F87D07">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3DD76E8E">
      <w:pPr>
        <w:pStyle w:val="14"/>
        <w:jc w:val="center"/>
        <w:rPr>
          <w:rFonts w:hint="eastAsia" w:ascii="方正小标宋_GBK" w:hAnsi="方正小标宋_GBK" w:eastAsia="方正小标宋_GBK" w:cs="方正小标宋_GBK"/>
          <w:sz w:val="70"/>
          <w:szCs w:val="70"/>
        </w:rPr>
      </w:pPr>
    </w:p>
    <w:p w14:paraId="248938B7">
      <w:pPr>
        <w:pStyle w:val="14"/>
        <w:jc w:val="center"/>
        <w:rPr>
          <w:rFonts w:hint="eastAsia" w:ascii="方正小标宋_GBK" w:hAnsi="方正小标宋_GBK" w:eastAsia="方正小标宋_GBK" w:cs="方正小标宋_GBK"/>
          <w:sz w:val="70"/>
          <w:szCs w:val="70"/>
        </w:rPr>
      </w:pPr>
    </w:p>
    <w:p w14:paraId="60302D56">
      <w:pPr>
        <w:pStyle w:val="14"/>
        <w:jc w:val="center"/>
        <w:rPr>
          <w:rFonts w:hint="eastAsia" w:ascii="方正小标宋_GBK" w:hAnsi="方正小标宋_GBK" w:eastAsia="方正小标宋_GBK" w:cs="方正小标宋_GBK"/>
          <w:sz w:val="70"/>
          <w:szCs w:val="70"/>
        </w:rPr>
      </w:pPr>
    </w:p>
    <w:p w14:paraId="6F141B68">
      <w:pPr>
        <w:pStyle w:val="14"/>
        <w:jc w:val="center"/>
        <w:rPr>
          <w:rFonts w:hint="eastAsia" w:ascii="方正小标宋_GBK" w:hAnsi="方正小标宋_GBK" w:eastAsia="方正小标宋_GBK" w:cs="方正小标宋_GBK"/>
          <w:sz w:val="70"/>
          <w:szCs w:val="70"/>
        </w:rPr>
      </w:pPr>
    </w:p>
    <w:p w14:paraId="43CB8CDD">
      <w:pPr>
        <w:pStyle w:val="14"/>
        <w:jc w:val="center"/>
        <w:rPr>
          <w:rFonts w:hint="eastAsia" w:ascii="方正小标宋_GBK" w:hAnsi="方正小标宋_GBK" w:eastAsia="方正小标宋_GBK" w:cs="方正小标宋_GBK"/>
          <w:sz w:val="70"/>
          <w:szCs w:val="70"/>
        </w:rPr>
      </w:pPr>
    </w:p>
    <w:p w14:paraId="36CBBCC8">
      <w:pPr>
        <w:pStyle w:val="14"/>
        <w:jc w:val="center"/>
        <w:rPr>
          <w:rFonts w:hint="eastAsia" w:ascii="方正小标宋_GBK" w:hAnsi="方正小标宋_GBK" w:eastAsia="方正小标宋_GBK" w:cs="方正小标宋_GBK"/>
          <w:sz w:val="70"/>
          <w:szCs w:val="70"/>
        </w:rPr>
      </w:pPr>
    </w:p>
    <w:p w14:paraId="64BAB9D0">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452017FE">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26D6DEA6">
      <w:pPr>
        <w:pStyle w:val="14"/>
        <w:ind w:firstLine="64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年度收、支总计</w:t>
      </w:r>
      <w:r>
        <w:rPr>
          <w:rFonts w:hint="eastAsia" w:ascii="仿宋_GB2312" w:hAnsi="仿宋_GB2312" w:eastAsia="仿宋_GB2312" w:cs="仿宋_GB2312"/>
          <w:sz w:val="32"/>
          <w:szCs w:val="32"/>
          <w:lang w:val="en-US" w:eastAsia="zh-CN"/>
        </w:rPr>
        <w:t>6591.21</w:t>
      </w:r>
      <w:r>
        <w:rPr>
          <w:rFonts w:hint="eastAsia" w:ascii="仿宋_GB2312" w:hAnsi="仿宋_GB2312" w:eastAsia="仿宋_GB2312" w:cs="仿宋_GB2312"/>
          <w:sz w:val="32"/>
          <w:szCs w:val="32"/>
        </w:rPr>
        <w:t>万元。与上年相比，</w:t>
      </w:r>
      <w:r>
        <w:rPr>
          <w:rFonts w:hint="eastAsia" w:ascii="Times New Roman" w:hAnsi="Times New Roman" w:eastAsia="仿宋_GB2312"/>
          <w:sz w:val="32"/>
          <w:szCs w:val="32"/>
          <w:lang w:val="zh-CN"/>
        </w:rPr>
        <w:t>收、支总计各</w:t>
      </w:r>
      <w:r>
        <w:rPr>
          <w:rFonts w:hint="eastAsia" w:ascii="Times New Roman" w:hAnsi="Times New Roman" w:eastAsia="仿宋_GB2312"/>
          <w:sz w:val="32"/>
          <w:szCs w:val="32"/>
          <w:lang w:eastAsia="zh-CN"/>
        </w:rPr>
        <w:t>增加</w:t>
      </w:r>
      <w:r>
        <w:rPr>
          <w:rFonts w:hint="eastAsia" w:ascii="仿宋_GB2312" w:hAnsi="仿宋_GB2312" w:eastAsia="仿宋_GB2312" w:cs="仿宋_GB2312"/>
          <w:sz w:val="32"/>
          <w:szCs w:val="32"/>
          <w:lang w:val="en-US" w:eastAsia="zh-CN"/>
        </w:rPr>
        <w:t>667.32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11.26</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lang w:eastAsia="zh-CN"/>
        </w:rPr>
        <w:t>增加了巴陵石化公司老厂区原泵站维修改造、青年堤等四条城市排水主涵清淤、旅发大会桥梁隧道涂装翻新等项目经费</w:t>
      </w:r>
      <w:r>
        <w:rPr>
          <w:rFonts w:hint="eastAsia" w:ascii="仿宋_GB2312" w:hAnsi="仿宋_GB2312" w:eastAsia="仿宋_GB2312" w:cs="仿宋_GB2312"/>
          <w:sz w:val="32"/>
          <w:szCs w:val="32"/>
          <w:lang w:val="zh-CN"/>
        </w:rPr>
        <w:t>。</w:t>
      </w:r>
    </w:p>
    <w:p w14:paraId="649B1EA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32D391B9">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年度收入合计</w:t>
      </w:r>
      <w:r>
        <w:rPr>
          <w:rFonts w:hint="eastAsia" w:ascii="仿宋_GB2312" w:hAnsi="仿宋_GB2312" w:eastAsia="仿宋_GB2312" w:cs="仿宋_GB2312"/>
          <w:sz w:val="32"/>
          <w:szCs w:val="32"/>
          <w:lang w:val="en-US" w:eastAsia="zh-CN"/>
        </w:rPr>
        <w:t>6591.09</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5899.63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89.51</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691.46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10.49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p>
    <w:p w14:paraId="769CDFA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6EFDD3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年度支出合计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6591.21</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808.32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12.26</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5782.89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87.74</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6E15BE5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07790F34">
      <w:pPr>
        <w:pStyle w:val="14"/>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年度财政拨款收、支总计</w:t>
      </w:r>
      <w:r>
        <w:rPr>
          <w:rFonts w:hint="eastAsia" w:ascii="仿宋_GB2312" w:hAnsi="仿宋_GB2312" w:eastAsia="仿宋_GB2312" w:cs="仿宋_GB2312"/>
          <w:sz w:val="32"/>
          <w:szCs w:val="32"/>
          <w:lang w:val="en-US" w:eastAsia="zh-CN"/>
        </w:rPr>
        <w:t>5899.63</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1076.18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增长</w:t>
      </w:r>
      <w:r>
        <w:rPr>
          <w:rFonts w:hint="eastAsia" w:ascii="仿宋_GB2312" w:hAnsi="仿宋_GB2312" w:eastAsia="仿宋_GB2312" w:cs="仿宋_GB2312"/>
          <w:sz w:val="32"/>
          <w:szCs w:val="32"/>
          <w:lang w:val="en-US" w:eastAsia="zh-CN"/>
        </w:rPr>
        <w:t>22.31</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lang w:eastAsia="zh-CN"/>
        </w:rPr>
        <w:t>增加了巴陵石化公司老厂区原泵站维修改造、青年堤等四条城市排水主涵清淤、旅发大会桥梁隧道涂装翻新等项目支出</w:t>
      </w:r>
      <w:r>
        <w:rPr>
          <w:rFonts w:hint="eastAsia" w:ascii="仿宋_GB2312" w:hAnsi="仿宋_GB2312" w:eastAsia="仿宋_GB2312" w:cs="仿宋_GB2312"/>
          <w:sz w:val="32"/>
          <w:szCs w:val="32"/>
          <w:lang w:val="zh-CN"/>
        </w:rPr>
        <w:t>。</w:t>
      </w:r>
    </w:p>
    <w:p w14:paraId="134FFC99">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79A99A7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26B26C1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财政拨款支出</w:t>
      </w:r>
      <w:r>
        <w:rPr>
          <w:rFonts w:hint="eastAsia" w:ascii="仿宋_GB2312" w:hAnsi="仿宋_GB2312" w:eastAsia="仿宋_GB2312" w:cs="仿宋_GB2312"/>
          <w:sz w:val="32"/>
          <w:szCs w:val="32"/>
          <w:lang w:val="en-US" w:eastAsia="zh-CN"/>
        </w:rPr>
        <w:t>5144.99</w:t>
      </w:r>
      <w:r>
        <w:rPr>
          <w:rFonts w:hint="eastAsia" w:ascii="仿宋_GB2312" w:hAnsi="仿宋_GB2312" w:eastAsia="仿宋_GB2312" w:cs="仿宋_GB2312"/>
          <w:sz w:val="32"/>
          <w:szCs w:val="32"/>
        </w:rPr>
        <w:t>万元，占本年</w:t>
      </w:r>
      <w:r>
        <w:rPr>
          <w:rFonts w:hint="eastAsia" w:ascii="仿宋_GB2312" w:hAnsi="仿宋_GB2312" w:eastAsia="仿宋_GB2312" w:cs="仿宋_GB2312"/>
          <w:sz w:val="32"/>
          <w:szCs w:val="32"/>
          <w:lang w:eastAsia="zh-CN"/>
        </w:rPr>
        <w:t>财政拨款</w:t>
      </w:r>
      <w:r>
        <w:rPr>
          <w:rFonts w:hint="eastAsia" w:ascii="仿宋_GB2312" w:hAnsi="仿宋_GB2312" w:eastAsia="仿宋_GB2312" w:cs="仿宋_GB2312"/>
          <w:sz w:val="32"/>
          <w:szCs w:val="32"/>
        </w:rPr>
        <w:t>支出合计的</w:t>
      </w:r>
      <w:r>
        <w:rPr>
          <w:rFonts w:hint="eastAsia" w:ascii="仿宋_GB2312" w:hAnsi="仿宋_GB2312" w:eastAsia="仿宋_GB2312" w:cs="仿宋_GB2312"/>
          <w:sz w:val="32"/>
          <w:szCs w:val="32"/>
          <w:lang w:val="en-US" w:eastAsia="zh-CN"/>
        </w:rPr>
        <w:t>87.21</w:t>
      </w:r>
      <w:r>
        <w:rPr>
          <w:rFonts w:hint="eastAsia" w:ascii="仿宋_GB2312" w:hAnsi="仿宋_GB2312" w:eastAsia="仿宋_GB2312" w:cs="仿宋_GB2312"/>
          <w:sz w:val="32"/>
          <w:szCs w:val="32"/>
        </w:rPr>
        <w:t>%，与上年相比，</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财政拨款支出</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625.69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13.84</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lang w:eastAsia="zh-CN"/>
        </w:rPr>
        <w:t>增加了旅发大会桥梁隧道涂装翻新等项目支出</w:t>
      </w:r>
      <w:r>
        <w:rPr>
          <w:rFonts w:hint="eastAsia" w:ascii="仿宋_GB2312" w:hAnsi="仿宋_GB2312" w:eastAsia="仿宋_GB2312" w:cs="仿宋_GB2312"/>
          <w:sz w:val="32"/>
          <w:szCs w:val="32"/>
          <w:lang w:val="zh-CN"/>
        </w:rPr>
        <w:t>。</w:t>
      </w:r>
    </w:p>
    <w:p w14:paraId="2F0FB0D2">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16F5437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财政拨款支出</w:t>
      </w:r>
      <w:r>
        <w:rPr>
          <w:rFonts w:hint="eastAsia" w:ascii="仿宋_GB2312" w:hAnsi="仿宋_GB2312" w:eastAsia="仿宋_GB2312" w:cs="仿宋_GB2312"/>
          <w:sz w:val="32"/>
          <w:szCs w:val="32"/>
          <w:lang w:val="en-US" w:eastAsia="zh-CN"/>
        </w:rPr>
        <w:t>5144.99</w:t>
      </w:r>
      <w:r>
        <w:rPr>
          <w:rFonts w:hint="eastAsia" w:ascii="仿宋_GB2312" w:hAnsi="仿宋_GB2312" w:eastAsia="仿宋_GB2312" w:cs="仿宋_GB2312"/>
          <w:sz w:val="32"/>
          <w:szCs w:val="32"/>
        </w:rPr>
        <w:t>万元，主要用于以下方面：</w:t>
      </w:r>
      <w:r>
        <w:rPr>
          <w:rFonts w:hint="eastAsia" w:eastAsia="仿宋_GB2312" w:cs="仿宋_GB2312"/>
          <w:sz w:val="32"/>
          <w:szCs w:val="32"/>
          <w:lang w:val="en-US" w:eastAsia="zh-CN" w:bidi="ar-SA"/>
        </w:rPr>
        <w:t>社会保障和就业（类）支出</w:t>
      </w:r>
      <w:r>
        <w:rPr>
          <w:rFonts w:hint="eastAsia" w:ascii="仿宋_GB2312" w:hAnsi="仿宋_GB2312" w:eastAsia="仿宋_GB2312" w:cs="仿宋_GB2312"/>
          <w:sz w:val="32"/>
          <w:szCs w:val="32"/>
          <w:lang w:val="en-US" w:eastAsia="zh-CN"/>
        </w:rPr>
        <w:t>61.70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1.20</w:t>
      </w:r>
      <w:r>
        <w:rPr>
          <w:rFonts w:hint="eastAsia" w:ascii="仿宋_GB2312" w:hAnsi="仿宋_GB2312" w:eastAsia="仿宋_GB2312" w:cs="仿宋_GB2312"/>
          <w:sz w:val="32"/>
          <w:szCs w:val="32"/>
        </w:rPr>
        <w:t>%；</w:t>
      </w:r>
      <w:r>
        <w:rPr>
          <w:rFonts w:hint="eastAsia" w:eastAsia="仿宋_GB2312" w:cs="仿宋_GB2312"/>
          <w:sz w:val="32"/>
          <w:szCs w:val="32"/>
          <w:lang w:val="en-US" w:eastAsia="zh-CN" w:bidi="ar-SA"/>
        </w:rPr>
        <w:t>城乡社区（类）支出</w:t>
      </w:r>
      <w:r>
        <w:rPr>
          <w:rFonts w:hint="eastAsia" w:ascii="仿宋_GB2312" w:hAnsi="仿宋_GB2312" w:eastAsia="仿宋_GB2312" w:cs="仿宋_GB2312"/>
          <w:sz w:val="32"/>
          <w:szCs w:val="32"/>
          <w:lang w:val="en-US" w:eastAsia="zh-CN"/>
        </w:rPr>
        <w:t>4788.64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93.07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住房保障（类）支出</w:t>
      </w:r>
      <w:r>
        <w:rPr>
          <w:rFonts w:hint="eastAsia" w:ascii="仿宋_GB2312" w:hAnsi="仿宋_GB2312" w:eastAsia="仿宋_GB2312" w:cs="仿宋_GB2312"/>
          <w:sz w:val="32"/>
          <w:szCs w:val="32"/>
          <w:lang w:val="en-US" w:eastAsia="zh-CN"/>
        </w:rPr>
        <w:t>37.71万元，</w:t>
      </w:r>
      <w:r>
        <w:rPr>
          <w:rFonts w:hint="eastAsia" w:ascii="仿宋_GB2312" w:hAnsi="仿宋_GB2312" w:eastAsia="仿宋_GB2312" w:cs="仿宋_GB2312"/>
          <w:sz w:val="32"/>
          <w:szCs w:val="32"/>
        </w:rPr>
        <w:t>占</w:t>
      </w:r>
      <w:r>
        <w:rPr>
          <w:rFonts w:hint="eastAsia" w:ascii="仿宋_GB2312" w:hAnsi="仿宋_GB2312" w:eastAsia="仿宋_GB2312" w:cs="仿宋_GB2312"/>
          <w:sz w:val="32"/>
          <w:szCs w:val="32"/>
          <w:lang w:val="en-US" w:eastAsia="zh-CN"/>
        </w:rPr>
        <w:t>0.73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；其他支出</w:t>
      </w:r>
      <w:r>
        <w:rPr>
          <w:rFonts w:hint="eastAsia" w:ascii="仿宋_GB2312" w:hAnsi="仿宋_GB2312" w:eastAsia="仿宋_GB2312" w:cs="仿宋_GB2312"/>
          <w:sz w:val="32"/>
          <w:szCs w:val="32"/>
          <w:lang w:val="en-US" w:eastAsia="zh-CN"/>
        </w:rPr>
        <w:t>256.94万元，占5%</w:t>
      </w:r>
      <w:r>
        <w:rPr>
          <w:rFonts w:hint="eastAsia" w:ascii="仿宋_GB2312" w:hAnsi="仿宋_GB2312" w:eastAsia="仿宋_GB2312" w:cs="仿宋_GB2312"/>
          <w:sz w:val="32"/>
          <w:szCs w:val="32"/>
          <w:lang w:eastAsia="zh-CN"/>
        </w:rPr>
        <w:t>。</w:t>
      </w:r>
    </w:p>
    <w:p w14:paraId="735A657C">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247D0DC0">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财政拨款支出年初预算数为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4525.53</w:t>
      </w:r>
      <w:r>
        <w:rPr>
          <w:rFonts w:hint="eastAsia" w:ascii="仿宋_GB2312" w:hAnsi="仿宋_GB2312" w:eastAsia="仿宋_GB2312" w:cs="仿宋_GB2312"/>
          <w:color w:val="000000" w:themeColor="text1"/>
          <w:sz w:val="32"/>
          <w:szCs w:val="32"/>
          <w14:textFill>
            <w14:solidFill>
              <w14:schemeClr w14:val="tx1"/>
            </w14:solidFill>
          </w14:textFill>
        </w:rPr>
        <w:t>万元</w:t>
      </w:r>
      <w:r>
        <w:rPr>
          <w:rFonts w:hint="eastAsia" w:ascii="仿宋_GB2312" w:hAnsi="仿宋_GB2312" w:eastAsia="仿宋_GB2312" w:cs="仿宋_GB2312"/>
          <w:sz w:val="32"/>
          <w:szCs w:val="32"/>
        </w:rPr>
        <w:t>，支出决算数为</w:t>
      </w:r>
      <w:r>
        <w:rPr>
          <w:rFonts w:hint="eastAsia" w:ascii="仿宋_GB2312" w:hAnsi="仿宋_GB2312" w:eastAsia="仿宋_GB2312" w:cs="仿宋_GB2312"/>
          <w:sz w:val="32"/>
          <w:szCs w:val="32"/>
          <w:lang w:val="en-US" w:eastAsia="zh-CN"/>
        </w:rPr>
        <w:t>5144.99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113.69</w:t>
      </w:r>
      <w:r>
        <w:rPr>
          <w:rFonts w:hint="eastAsia" w:ascii="仿宋_GB2312" w:hAnsi="仿宋_GB2312" w:eastAsia="仿宋_GB2312" w:cs="仿宋_GB2312"/>
          <w:sz w:val="32"/>
          <w:szCs w:val="32"/>
        </w:rPr>
        <w:t>%，其中：</w:t>
      </w:r>
    </w:p>
    <w:p w14:paraId="09EE8A2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eastAsia="仿宋_GB2312" w:cs="仿宋_GB2312"/>
          <w:sz w:val="32"/>
          <w:szCs w:val="32"/>
          <w:lang w:val="en-US" w:eastAsia="zh-CN" w:bidi="ar-SA"/>
        </w:rPr>
        <w:t>社会保障和就业支出（类）行政事业单位养老支出（款）机关事业单位基本养老保险缴费支出（项）</w:t>
      </w:r>
      <w:r>
        <w:rPr>
          <w:rFonts w:hint="eastAsia" w:ascii="仿宋_GB2312" w:hAnsi="仿宋_GB2312" w:eastAsia="仿宋_GB2312" w:cs="仿宋_GB2312"/>
          <w:sz w:val="32"/>
          <w:szCs w:val="32"/>
        </w:rPr>
        <w:t>。</w:t>
      </w:r>
    </w:p>
    <w:p w14:paraId="2889CC92">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57.14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55.90</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97.83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决算数小于预算数，主要原因是2025年我单位有人员调离。</w:t>
      </w:r>
    </w:p>
    <w:p w14:paraId="06D5E3DE">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社会保障和就业支出（类）残疾人事业（款）其他残疾人事业支出（项）</w:t>
      </w:r>
      <w:r>
        <w:rPr>
          <w:rFonts w:hint="eastAsia" w:ascii="仿宋_GB2312" w:hAnsi="仿宋_GB2312" w:eastAsia="仿宋_GB2312" w:cs="仿宋_GB2312"/>
          <w:sz w:val="32"/>
          <w:szCs w:val="32"/>
        </w:rPr>
        <w:t>。</w:t>
      </w:r>
    </w:p>
    <w:p w14:paraId="7BAD8BE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4.11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4.11</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决算数与预算数一致，主要原因是我单位严格按预算执行决算。</w:t>
      </w:r>
    </w:p>
    <w:p w14:paraId="03F02F3E">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社会保障和就业支出（类）其他社会保障和就业支出（款）其他社会保障和就业支出（项）</w:t>
      </w:r>
      <w:r>
        <w:rPr>
          <w:rFonts w:hint="eastAsia" w:ascii="仿宋_GB2312" w:hAnsi="仿宋_GB2312" w:eastAsia="仿宋_GB2312" w:cs="仿宋_GB2312"/>
          <w:sz w:val="32"/>
          <w:szCs w:val="32"/>
        </w:rPr>
        <w:t>。</w:t>
      </w:r>
    </w:p>
    <w:p w14:paraId="08657182">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1.04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1.68</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161.54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决算数大于预算数，主要原因是年中</w:t>
      </w:r>
      <w:r>
        <w:rPr>
          <w:rFonts w:hint="eastAsia" w:ascii="仿宋_GB2312" w:hAnsi="仿宋_GB2312" w:eastAsia="仿宋_GB2312" w:cs="仿宋_GB2312"/>
          <w:sz w:val="32"/>
          <w:szCs w:val="32"/>
          <w:lang w:eastAsia="zh-CN"/>
        </w:rPr>
        <w:t>追加了人员经费补差等。</w:t>
      </w:r>
    </w:p>
    <w:p w14:paraId="74CF7FDC">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城乡社区支出（类）城乡社区管理事务（款）行政运行（项）</w:t>
      </w:r>
      <w:r>
        <w:rPr>
          <w:rFonts w:hint="eastAsia" w:ascii="仿宋_GB2312" w:hAnsi="仿宋_GB2312" w:eastAsia="仿宋_GB2312" w:cs="仿宋_GB2312"/>
          <w:sz w:val="32"/>
          <w:szCs w:val="32"/>
        </w:rPr>
        <w:t>。</w:t>
      </w:r>
    </w:p>
    <w:p w14:paraId="0638CBF8">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103.50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决算数大于预算数的主要原因是年中</w:t>
      </w:r>
      <w:r>
        <w:rPr>
          <w:rFonts w:hint="eastAsia" w:ascii="仿宋_GB2312" w:hAnsi="仿宋_GB2312" w:eastAsia="仿宋_GB2312" w:cs="仿宋_GB2312"/>
          <w:sz w:val="32"/>
          <w:szCs w:val="32"/>
          <w:lang w:eastAsia="zh-CN"/>
        </w:rPr>
        <w:t>追加了人员经费补差等。</w:t>
      </w:r>
    </w:p>
    <w:p w14:paraId="03EE062F">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5、城乡社区支出（类）城乡社区管理事务（款）其他城乡社区管理事务支出（项）。</w:t>
      </w:r>
    </w:p>
    <w:p w14:paraId="406B11C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259.90</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12376.19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决算数大于预算数的主要原因是年中追加项目预算。</w:t>
      </w:r>
    </w:p>
    <w:p w14:paraId="6867FB6D">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6、城乡社区支出（类）城乡社区规划与管理（款）城乡社区规划与管理（项）。</w:t>
      </w:r>
    </w:p>
    <w:p w14:paraId="7412CDD5">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2410.99</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FF0000"/>
          <w:sz w:val="32"/>
          <w:szCs w:val="32"/>
          <w:lang w:eastAsia="zh-CN"/>
        </w:rPr>
        <w:t>（其中代编项目预算</w:t>
      </w:r>
      <w:r>
        <w:rPr>
          <w:rFonts w:hint="eastAsia" w:ascii="仿宋_GB2312" w:hAnsi="仿宋_GB2312" w:eastAsia="仿宋_GB2312" w:cs="仿宋_GB2312"/>
          <w:color w:val="FF0000"/>
          <w:sz w:val="32"/>
          <w:szCs w:val="32"/>
          <w:lang w:val="en-US" w:eastAsia="zh-CN"/>
        </w:rPr>
        <w:t>1775万元）</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2403.99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99.71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决算数小于预算数的主要原因是人员变动导致预算调整。</w:t>
      </w:r>
    </w:p>
    <w:p w14:paraId="2FAA9165">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7、城乡社区支出（类）城乡社区公共设施（款）其他城乡社区公共设施支出（项）。</w:t>
      </w:r>
    </w:p>
    <w:p w14:paraId="555FF0F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1240</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FF0000"/>
          <w:sz w:val="32"/>
          <w:szCs w:val="32"/>
          <w:lang w:eastAsia="zh-CN"/>
        </w:rPr>
        <w:t>（均为代编项目预算）</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1240</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决算数与预算数一致，主要原因是我单位严格按预算执行决算。</w:t>
      </w:r>
    </w:p>
    <w:p w14:paraId="10A1F3C1">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8、城乡社区支出（类）其他城乡社区支出（款）其他城乡社区支出（项）。</w:t>
      </w:r>
    </w:p>
    <w:p w14:paraId="0CE34368">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769</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FF0000"/>
          <w:sz w:val="32"/>
          <w:szCs w:val="32"/>
          <w:lang w:eastAsia="zh-CN"/>
        </w:rPr>
        <w:t>（均为代编项目预算）</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781.25</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101.59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决算数大于预算数的主要原因是年中</w:t>
      </w:r>
      <w:r>
        <w:rPr>
          <w:rFonts w:hint="eastAsia" w:ascii="仿宋_GB2312" w:hAnsi="仿宋_GB2312" w:eastAsia="仿宋_GB2312" w:cs="仿宋_GB2312"/>
          <w:sz w:val="32"/>
          <w:szCs w:val="32"/>
          <w:lang w:eastAsia="zh-CN"/>
        </w:rPr>
        <w:t>追加了人员经费补差等。</w:t>
      </w:r>
    </w:p>
    <w:p w14:paraId="49A92958">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9、住房保障支出（类）住房改革支出（款）住房公积金（项）。</w:t>
      </w:r>
    </w:p>
    <w:p w14:paraId="2ECB86C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41.15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37.71</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91.64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决算数小于预算数的主要原因是2025年调整了住房公积金缴存比率。</w:t>
      </w:r>
    </w:p>
    <w:p w14:paraId="72B1F7E0">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10、其他支出（类）其他支出（款）其他支出（项）。</w:t>
      </w:r>
    </w:p>
    <w:p w14:paraId="66FC0A6F">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256.94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决算数大于预算数的主要原因是年中追加项目预算。</w:t>
      </w:r>
    </w:p>
    <w:p w14:paraId="3FF8C51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7802A532">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744.68</w:t>
      </w:r>
      <w:r>
        <w:rPr>
          <w:rFonts w:hint="eastAsia" w:ascii="仿宋_GB2312" w:hAnsi="仿宋_GB2312" w:eastAsia="仿宋_GB2312" w:cs="仿宋_GB2312"/>
          <w:sz w:val="32"/>
          <w:szCs w:val="32"/>
        </w:rPr>
        <w:t>万元，其中：</w:t>
      </w:r>
    </w:p>
    <w:p w14:paraId="3A06055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622.49</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83.59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主要包括</w:t>
      </w:r>
      <w:r>
        <w:rPr>
          <w:rFonts w:hint="eastAsia" w:ascii="Times New Roman" w:hAnsi="Times New Roman" w:eastAsia="仿宋_GB2312"/>
          <w:sz w:val="32"/>
          <w:szCs w:val="32"/>
          <w:lang w:eastAsia="zh-CN"/>
        </w:rPr>
        <w:t>主要包括基本工资、津贴补贴、奖金、伙食补助费</w:t>
      </w:r>
      <w:r>
        <w:rPr>
          <w:rFonts w:hint="eastAsia" w:ascii="Times New Roman" w:hAnsi="Times New Roman" w:eastAsia="仿宋_GB2312"/>
          <w:sz w:val="32"/>
          <w:szCs w:val="32"/>
          <w:lang w:val="zh-CN" w:eastAsia="zh-CN"/>
        </w:rPr>
        <w:t>、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r>
        <w:rPr>
          <w:rFonts w:hint="eastAsia" w:ascii="仿宋_GB2312" w:hAnsi="仿宋_GB2312" w:eastAsia="仿宋_GB2312" w:cs="仿宋_GB2312"/>
          <w:sz w:val="32"/>
          <w:szCs w:val="32"/>
          <w:lang w:eastAsia="zh-CN"/>
        </w:rPr>
        <w:t>。</w:t>
      </w:r>
    </w:p>
    <w:p w14:paraId="04C5447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122.19</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16.41</w:t>
      </w:r>
      <w:r>
        <w:rPr>
          <w:rFonts w:hint="eastAsia" w:ascii="仿宋_GB2312" w:hAnsi="仿宋_GB2312" w:eastAsia="仿宋_GB2312" w:cs="仿宋_GB2312"/>
          <w:sz w:val="32"/>
          <w:szCs w:val="32"/>
        </w:rPr>
        <w:t>%，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14:paraId="4C64CDE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7171A03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年度政府性基金预算财政拨款收入</w:t>
      </w:r>
      <w:r>
        <w:rPr>
          <w:rFonts w:hint="eastAsia" w:ascii="仿宋_GB2312" w:hAnsi="仿宋_GB2312" w:eastAsia="仿宋_GB2312" w:cs="仿宋_GB2312"/>
          <w:sz w:val="32"/>
          <w:szCs w:val="32"/>
          <w:lang w:val="en-US" w:eastAsia="zh-CN"/>
        </w:rPr>
        <w:t>754.64</w:t>
      </w:r>
      <w:r>
        <w:rPr>
          <w:rFonts w:hint="eastAsia" w:ascii="仿宋_GB2312" w:hAnsi="仿宋_GB2312" w:eastAsia="仿宋_GB2312" w:cs="仿宋_GB2312"/>
          <w:sz w:val="32"/>
          <w:szCs w:val="32"/>
          <w:lang w:eastAsia="zh-CN"/>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万元；支出</w:t>
      </w:r>
      <w:r>
        <w:rPr>
          <w:rFonts w:hint="eastAsia" w:ascii="仿宋_GB2312" w:hAnsi="仿宋_GB2312" w:eastAsia="仿宋_GB2312" w:cs="仿宋_GB2312"/>
          <w:sz w:val="32"/>
          <w:szCs w:val="32"/>
          <w:lang w:val="en-US" w:eastAsia="zh-CN"/>
        </w:rPr>
        <w:t>754.64</w:t>
      </w:r>
      <w:r>
        <w:rPr>
          <w:rFonts w:hint="eastAsia" w:ascii="仿宋_GB2312" w:hAnsi="仿宋_GB2312" w:eastAsia="仿宋_GB2312" w:cs="仿宋_GB2312"/>
          <w:sz w:val="32"/>
          <w:szCs w:val="32"/>
          <w:lang w:eastAsia="zh-CN"/>
        </w:rPr>
        <w:t>万元，其中基本支出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万元，项目支出</w:t>
      </w:r>
      <w:r>
        <w:rPr>
          <w:rFonts w:hint="eastAsia" w:ascii="仿宋_GB2312" w:hAnsi="仿宋_GB2312" w:eastAsia="仿宋_GB2312" w:cs="仿宋_GB2312"/>
          <w:sz w:val="32"/>
          <w:szCs w:val="32"/>
          <w:lang w:val="en-US" w:eastAsia="zh-CN"/>
        </w:rPr>
        <w:t>754.64</w:t>
      </w:r>
      <w:r>
        <w:rPr>
          <w:rFonts w:hint="eastAsia" w:ascii="仿宋_GB2312" w:hAnsi="仿宋_GB2312" w:eastAsia="仿宋_GB2312" w:cs="仿宋_GB2312"/>
          <w:sz w:val="32"/>
          <w:szCs w:val="32"/>
          <w:lang w:eastAsia="zh-CN"/>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万元。具体情况如下：</w:t>
      </w:r>
    </w:p>
    <w:p w14:paraId="159DCE41">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1、城乡社区支出（类）国有土地使用权出让收入安排的支出（款）其他国有土地使用权出让收入安排的支出（项）。</w:t>
      </w:r>
    </w:p>
    <w:p w14:paraId="5EF3E2A6">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426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决算数大于预算数的主要原因是年中追加项目预算。</w:t>
      </w:r>
    </w:p>
    <w:p w14:paraId="43C3E7E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2、其他支出（类）其他政府性基金及对应专项债务收入安排的支出（款）其他地方自行试点项目收益专项债券收入安排的支出（项）。</w:t>
      </w:r>
    </w:p>
    <w:p w14:paraId="129DB219">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328.64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决算数大于预算数的主要原因是年中追加项目预算。</w:t>
      </w:r>
      <w:r>
        <w:rPr>
          <w:rFonts w:hint="eastAsia" w:ascii="Times New Roman" w:hAnsi="Times New Roman" w:eastAsia="仿宋_GB2312"/>
          <w:sz w:val="32"/>
          <w:szCs w:val="32"/>
        </w:rPr>
        <w:t xml:space="preserve"> </w:t>
      </w:r>
    </w:p>
    <w:p w14:paraId="47C3F54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2A82F1D7">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sz w:val="32"/>
          <w:szCs w:val="32"/>
        </w:rPr>
      </w:pPr>
      <w:r>
        <w:rPr>
          <w:rFonts w:hint="eastAsia" w:ascii="仿宋_GB2312" w:hAnsi="仿宋_GB2312" w:eastAsia="仿宋_GB2312" w:cs="仿宋_GB2312"/>
          <w:color w:val="000000"/>
          <w:kern w:val="0"/>
          <w:sz w:val="32"/>
          <w:szCs w:val="32"/>
          <w:highlight w:val="none"/>
          <w:lang w:val="en-US" w:eastAsia="zh-CN" w:bidi="ar-SA"/>
        </w:rPr>
        <w:t>2025年度国有资本经营预算财政拨款收入0万元；年初结转和结余0万；支出0万元，</w:t>
      </w:r>
      <w:r>
        <w:rPr>
          <w:rFonts w:hint="eastAsia" w:ascii="仿宋_GB2312" w:hAnsi="仿宋_GB2312" w:eastAsia="仿宋_GB2312" w:cs="仿宋_GB2312"/>
          <w:i w:val="0"/>
          <w:iCs/>
          <w:color w:val="000000" w:themeColor="text1"/>
          <w:kern w:val="0"/>
          <w:sz w:val="32"/>
          <w:szCs w:val="32"/>
          <w:highlight w:val="none"/>
          <w:lang w:val="en-US" w:eastAsia="zh-CN" w:bidi="ar-SA"/>
          <w14:textFill>
            <w14:solidFill>
              <w14:schemeClr w14:val="tx1"/>
            </w14:solidFill>
          </w14:textFill>
        </w:rPr>
        <w:t>其中：基本支出0万元，项目支出0万元</w:t>
      </w:r>
      <w:r>
        <w:rPr>
          <w:rFonts w:hint="eastAsia" w:ascii="仿宋_GB2312" w:hAnsi="仿宋_GB2312" w:eastAsia="仿宋_GB2312" w:cs="仿宋_GB2312"/>
          <w:color w:val="000000"/>
          <w:kern w:val="0"/>
          <w:sz w:val="32"/>
          <w:szCs w:val="32"/>
          <w:highlight w:val="none"/>
          <w:lang w:val="en-US" w:eastAsia="zh-CN" w:bidi="ar-SA"/>
        </w:rPr>
        <w:t>；年末结转和结余0万元。</w:t>
      </w:r>
    </w:p>
    <w:p w14:paraId="51A0343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6B49A30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71829E5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rPr>
        <w:t>“三公”经费财政拨款支出预算为</w:t>
      </w:r>
      <w:r>
        <w:rPr>
          <w:rFonts w:hint="eastAsia" w:ascii="仿宋_GB2312" w:hAnsi="仿宋_GB2312" w:eastAsia="仿宋_GB2312" w:cs="仿宋_GB2312"/>
          <w:sz w:val="32"/>
          <w:szCs w:val="32"/>
          <w:lang w:val="en-US" w:eastAsia="zh-CN"/>
        </w:rPr>
        <w:t>75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74.07</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98.76</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Times New Roman" w:hAnsi="Times New Roman" w:eastAsia="仿宋_GB2312" w:cs="黑体"/>
          <w:color w:val="000000"/>
          <w:kern w:val="0"/>
          <w:sz w:val="32"/>
          <w:szCs w:val="32"/>
          <w:lang w:val="en-US" w:eastAsia="zh-CN" w:bidi="ar-SA"/>
        </w:rPr>
        <w:t>我单位严格按预算执行决算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与上年持平</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eastAsia="zh-CN"/>
        </w:rPr>
        <w:t>是我单位</w:t>
      </w:r>
      <w:r>
        <w:rPr>
          <w:rFonts w:hint="eastAsia" w:ascii="仿宋_GB2312" w:hAnsi="仿宋_GB2312" w:eastAsia="仿宋_GB2312" w:cs="仿宋_GB2312"/>
          <w:sz w:val="32"/>
          <w:szCs w:val="32"/>
          <w:lang w:val="en-US" w:eastAsia="zh-CN"/>
        </w:rPr>
        <w:t>认真贯彻落实中央“八项规定”精神和厉行节约要求，从严控制“三公”经费开支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FF0000"/>
          <w:sz w:val="32"/>
          <w:szCs w:val="32"/>
          <w:lang w:val="en-US" w:eastAsia="zh-CN"/>
        </w:rPr>
        <w:t xml:space="preserve"> </w:t>
      </w:r>
    </w:p>
    <w:p w14:paraId="701A6FB0">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44566C0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因公出国（境）费支出预算为0万元，支出决算为0万元，决算数等于预算数，主要原因是我单位严格按预算执行决算；与上年一致，无增减变动，主要原因是未安排因公出国（境）活动。</w:t>
      </w:r>
      <w:r>
        <w:rPr>
          <w:rFonts w:hint="default" w:ascii="仿宋_GB2312" w:hAnsi="仿宋_GB2312" w:eastAsia="仿宋_GB2312" w:cs="仿宋_GB2312"/>
          <w:b w:val="0"/>
          <w:bCs/>
          <w:color w:val="000000" w:themeColor="text1"/>
          <w:kern w:val="0"/>
          <w:sz w:val="32"/>
          <w:szCs w:val="32"/>
          <w:lang w:val="en" w:eastAsia="zh-CN" w:bidi="ar-SA"/>
          <w14:textFill>
            <w14:solidFill>
              <w14:schemeClr w14:val="tx1"/>
            </w14:solidFill>
          </w14:textFill>
        </w:rPr>
        <w:t>202</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sz w:val="32"/>
          <w:szCs w:val="32"/>
        </w:rPr>
        <w:t>安排因公出国（境）团组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个，累计</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人次</w:t>
      </w:r>
      <w:r>
        <w:rPr>
          <w:rFonts w:hint="eastAsia" w:ascii="Times New Roman" w:hAnsi="Times New Roman" w:eastAsia="仿宋_GB2312"/>
          <w:sz w:val="32"/>
          <w:szCs w:val="32"/>
          <w:lang w:eastAsia="zh-CN"/>
        </w:rPr>
        <w:t>。</w:t>
      </w:r>
    </w:p>
    <w:p w14:paraId="5797AB48">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公务用车购置费及运行维护费支出</w:t>
      </w:r>
      <w:r>
        <w:rPr>
          <w:rFonts w:hint="eastAsia" w:ascii="仿宋_GB2312" w:hAnsi="仿宋_GB2312" w:eastAsia="仿宋_GB2312" w:cs="仿宋_GB2312"/>
          <w:color w:val="000000" w:themeColor="text1"/>
          <w:sz w:val="32"/>
          <w:szCs w:val="32"/>
          <w14:textFill>
            <w14:solidFill>
              <w14:schemeClr w14:val="tx1"/>
            </w14:solidFill>
          </w14:textFill>
        </w:rPr>
        <w:t>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75</w:t>
      </w:r>
      <w:r>
        <w:rPr>
          <w:rFonts w:hint="eastAsia" w:ascii="仿宋_GB2312" w:hAnsi="仿宋_GB2312" w:eastAsia="仿宋_GB2312" w:cs="仿宋_GB2312"/>
          <w:color w:val="000000" w:themeColor="text1"/>
          <w:sz w:val="32"/>
          <w:szCs w:val="32"/>
          <w14:textFill>
            <w14:solidFill>
              <w14:schemeClr w14:val="tx1"/>
            </w14:solidFill>
          </w14:textFill>
        </w:rPr>
        <w:t>万元，</w:t>
      </w:r>
      <w:r>
        <w:rPr>
          <w:rFonts w:hint="eastAsia" w:ascii="仿宋_GB2312" w:hAnsi="仿宋_GB2312" w:eastAsia="仿宋_GB2312" w:cs="仿宋_GB2312"/>
          <w:color w:val="000000" w:themeColor="text1"/>
          <w:sz w:val="32"/>
          <w:szCs w:val="32"/>
          <w:lang w:eastAsia="zh-CN"/>
          <w14:textFill>
            <w14:solidFill>
              <w14:schemeClr w14:val="tx1"/>
            </w14:solidFill>
          </w14:textFill>
        </w:rPr>
        <w:t>支出</w:t>
      </w:r>
      <w:r>
        <w:rPr>
          <w:rFonts w:hint="eastAsia" w:ascii="仿宋_GB2312" w:hAnsi="仿宋_GB2312" w:eastAsia="仿宋_GB2312" w:cs="仿宋_GB2312"/>
          <w:sz w:val="32"/>
          <w:szCs w:val="32"/>
        </w:rPr>
        <w:t>决算为</w:t>
      </w:r>
      <w:r>
        <w:rPr>
          <w:rFonts w:hint="eastAsia" w:ascii="仿宋_GB2312" w:hAnsi="仿宋_GB2312" w:eastAsia="仿宋_GB2312" w:cs="仿宋_GB2312"/>
          <w:sz w:val="32"/>
          <w:szCs w:val="32"/>
          <w:lang w:val="en-US" w:eastAsia="zh-CN"/>
        </w:rPr>
        <w:t>74.07</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000000" w:themeColor="text1"/>
          <w:sz w:val="32"/>
          <w:szCs w:val="32"/>
          <w14:textFill>
            <w14:solidFill>
              <w14:schemeClr w14:val="tx1"/>
            </w14:solidFill>
          </w14:textFill>
        </w:rPr>
        <w:t>完成预算的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98.76</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与上年一致，无增减变动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sz w:val="32"/>
          <w:szCs w:val="32"/>
        </w:rPr>
        <w:t>其中：</w:t>
      </w:r>
    </w:p>
    <w:p w14:paraId="4D65CA5F">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公务用车购置费</w:t>
      </w:r>
      <w:r>
        <w:rPr>
          <w:rFonts w:hint="eastAsia" w:ascii="仿宋_GB2312" w:hAnsi="仿宋_GB2312" w:eastAsia="仿宋_GB2312" w:cs="仿宋_GB2312"/>
          <w:sz w:val="32"/>
          <w:szCs w:val="32"/>
          <w:lang w:eastAsia="zh-CN"/>
        </w:rPr>
        <w:t>支出预算为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支出决算为0万元，决算数等于预算数，主要原因是我单位严格按预算执行决算；与上年持平，主要原因是</w:t>
      </w:r>
      <w:r>
        <w:rPr>
          <w:rFonts w:hint="eastAsia" w:ascii="Times New Roman" w:hAnsi="Times New Roman" w:eastAsia="仿宋_GB2312"/>
          <w:sz w:val="32"/>
          <w:szCs w:val="32"/>
          <w:lang w:eastAsia="zh-CN"/>
        </w:rPr>
        <w:t>两年均未购置公务用车。本年度更新</w:t>
      </w:r>
      <w:r>
        <w:rPr>
          <w:rFonts w:hint="eastAsia" w:ascii="仿宋_GB2312" w:hAnsi="仿宋_GB2312" w:eastAsia="仿宋_GB2312" w:cs="仿宋_GB2312"/>
          <w:sz w:val="32"/>
          <w:szCs w:val="32"/>
        </w:rPr>
        <w:t>公务用车</w:t>
      </w:r>
      <w:r>
        <w:rPr>
          <w:rFonts w:hint="eastAsia" w:ascii="仿宋_GB2312" w:hAnsi="仿宋_GB2312" w:eastAsia="仿宋_GB2312" w:cs="仿宋_GB2312"/>
          <w:sz w:val="32"/>
          <w:szCs w:val="32"/>
          <w:lang w:val="en-US" w:eastAsia="zh-CN"/>
        </w:rPr>
        <w:t>0辆。</w:t>
      </w:r>
    </w:p>
    <w:p w14:paraId="6CE080E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公务用车运行维护费支出</w:t>
      </w:r>
      <w:r>
        <w:rPr>
          <w:rFonts w:hint="eastAsia" w:ascii="仿宋_GB2312" w:hAnsi="仿宋_GB2312" w:eastAsia="仿宋_GB2312" w:cs="仿宋_GB2312"/>
          <w:color w:val="000000" w:themeColor="text1"/>
          <w:sz w:val="32"/>
          <w:szCs w:val="32"/>
          <w14:textFill>
            <w14:solidFill>
              <w14:schemeClr w14:val="tx1"/>
            </w14:solidFill>
          </w14:textFill>
        </w:rPr>
        <w:t>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75</w:t>
      </w:r>
      <w:r>
        <w:rPr>
          <w:rFonts w:hint="eastAsia" w:ascii="仿宋_GB2312" w:hAnsi="仿宋_GB2312" w:eastAsia="仿宋_GB2312" w:cs="仿宋_GB2312"/>
          <w:color w:val="000000" w:themeColor="text1"/>
          <w:sz w:val="32"/>
          <w:szCs w:val="32"/>
          <w14:textFill>
            <w14:solidFill>
              <w14:schemeClr w14:val="tx1"/>
            </w14:solidFill>
          </w14:textFill>
        </w:rPr>
        <w:t>万元，</w:t>
      </w:r>
      <w:r>
        <w:rPr>
          <w:rFonts w:hint="eastAsia" w:ascii="仿宋_GB2312" w:hAnsi="仿宋_GB2312" w:eastAsia="仿宋_GB2312" w:cs="仿宋_GB2312"/>
          <w:color w:val="000000" w:themeColor="text1"/>
          <w:sz w:val="32"/>
          <w:szCs w:val="32"/>
          <w:lang w:eastAsia="zh-CN"/>
          <w14:textFill>
            <w14:solidFill>
              <w14:schemeClr w14:val="tx1"/>
            </w14:solidFill>
          </w14:textFill>
        </w:rPr>
        <w:t>支出</w:t>
      </w:r>
      <w:r>
        <w:rPr>
          <w:rFonts w:hint="eastAsia" w:ascii="仿宋_GB2312" w:hAnsi="仿宋_GB2312" w:eastAsia="仿宋_GB2312" w:cs="仿宋_GB2312"/>
          <w:sz w:val="32"/>
          <w:szCs w:val="32"/>
        </w:rPr>
        <w:t>决算为</w:t>
      </w:r>
      <w:r>
        <w:rPr>
          <w:rFonts w:hint="eastAsia" w:ascii="仿宋_GB2312" w:hAnsi="仿宋_GB2312" w:eastAsia="仿宋_GB2312" w:cs="仿宋_GB2312"/>
          <w:sz w:val="32"/>
          <w:szCs w:val="32"/>
          <w:lang w:val="en-US" w:eastAsia="zh-CN"/>
        </w:rPr>
        <w:t>74.07</w:t>
      </w:r>
      <w:r>
        <w:rPr>
          <w:rFonts w:hint="eastAsia" w:ascii="仿宋_GB2312" w:hAnsi="仿宋_GB2312" w:eastAsia="仿宋_GB2312" w:cs="仿宋_GB2312"/>
          <w:sz w:val="32"/>
          <w:szCs w:val="32"/>
        </w:rPr>
        <w:t>万元，主要是</w:t>
      </w:r>
      <w:r>
        <w:rPr>
          <w:rFonts w:hint="eastAsia" w:eastAsia="仿宋_GB2312" w:cs="仿宋_GB2312"/>
          <w:sz w:val="32"/>
          <w:szCs w:val="32"/>
          <w:lang w:val="zh-CN" w:eastAsia="zh-CN" w:bidi="ar-SA"/>
        </w:rPr>
        <w:t>按规定保留的公务用车的燃料费、维修费、保险费等支出，</w:t>
      </w:r>
      <w:r>
        <w:rPr>
          <w:rFonts w:hint="eastAsia" w:ascii="仿宋_GB2312" w:hAnsi="仿宋_GB2312" w:eastAsia="仿宋_GB2312" w:cs="仿宋_GB2312"/>
          <w:color w:val="000000" w:themeColor="text1"/>
          <w:sz w:val="32"/>
          <w:szCs w:val="32"/>
          <w14:textFill>
            <w14:solidFill>
              <w14:schemeClr w14:val="tx1"/>
            </w14:solidFill>
          </w14:textFill>
        </w:rPr>
        <w:t>完成预算的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98.76</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与上年持平</w:t>
      </w:r>
      <w:r>
        <w:rPr>
          <w:rFonts w:hint="eastAsia" w:ascii="仿宋_GB2312" w:hAnsi="仿宋_GB2312" w:eastAsia="仿宋_GB2312" w:cs="仿宋_GB2312"/>
          <w:sz w:val="32"/>
          <w:szCs w:val="32"/>
        </w:rPr>
        <w:t>，主要原因</w:t>
      </w:r>
      <w:r>
        <w:rPr>
          <w:rFonts w:hint="eastAsia" w:ascii="仿宋_GB2312" w:hAnsi="仿宋_GB2312" w:eastAsia="仿宋_GB2312" w:cs="仿宋_GB2312"/>
          <w:sz w:val="32"/>
          <w:szCs w:val="32"/>
          <w:lang w:eastAsia="zh-CN"/>
        </w:rPr>
        <w:t>是我单位</w:t>
      </w:r>
      <w:r>
        <w:rPr>
          <w:rFonts w:hint="eastAsia" w:ascii="仿宋_GB2312" w:hAnsi="仿宋_GB2312" w:eastAsia="仿宋_GB2312" w:cs="仿宋_GB2312"/>
          <w:sz w:val="32"/>
          <w:szCs w:val="32"/>
          <w:lang w:val="en-US" w:eastAsia="zh-CN"/>
        </w:rPr>
        <w:t>认真贯彻落实中央“八项规定”精神和厉行节约要求，从严控制“三公”经费开支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sz w:val="32"/>
          <w:szCs w:val="32"/>
        </w:rPr>
        <w:t>截止202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年12月31日，我单位开支财政拨款的公务用车保有量为</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辆</w:t>
      </w:r>
      <w:r>
        <w:rPr>
          <w:rFonts w:hint="eastAsia" w:ascii="Times New Roman" w:hAnsi="Times New Roman" w:eastAsia="仿宋_GB2312"/>
          <w:sz w:val="32"/>
          <w:szCs w:val="32"/>
          <w:lang w:eastAsia="zh-CN"/>
        </w:rPr>
        <w:t>（均为生产性用车）</w:t>
      </w:r>
      <w:r>
        <w:rPr>
          <w:rFonts w:hint="eastAsia" w:ascii="仿宋_GB2312" w:hAnsi="仿宋_GB2312" w:eastAsia="仿宋_GB2312" w:cs="仿宋_GB2312"/>
          <w:sz w:val="32"/>
          <w:szCs w:val="32"/>
        </w:rPr>
        <w:t>。</w:t>
      </w:r>
    </w:p>
    <w:p w14:paraId="078AE547">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b/>
          <w:color w:val="auto"/>
          <w:sz w:val="32"/>
          <w:szCs w:val="32"/>
          <w:lang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、公务接待费支出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支出预算为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0万元，</w:t>
      </w:r>
      <w:r>
        <w:rPr>
          <w:rFonts w:hint="eastAsia" w:ascii="仿宋_GB2312" w:hAnsi="仿宋_GB2312" w:eastAsia="仿宋_GB2312" w:cs="仿宋_GB2312"/>
          <w:color w:val="000000" w:themeColor="text1"/>
          <w:sz w:val="32"/>
          <w:szCs w:val="32"/>
          <w14:textFill>
            <w14:solidFill>
              <w14:schemeClr w14:val="tx1"/>
            </w14:solidFill>
          </w14:textFill>
        </w:rPr>
        <w:t>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万元，</w:t>
      </w:r>
      <w:r>
        <w:rPr>
          <w:rFonts w:hint="eastAsia" w:ascii="仿宋_GB2312" w:hAnsi="仿宋_GB2312" w:eastAsia="仿宋_GB2312" w:cs="仿宋_GB2312"/>
          <w:color w:val="000000" w:themeColor="text1"/>
          <w:sz w:val="32"/>
          <w:szCs w:val="32"/>
          <w:lang w:eastAsia="zh-CN"/>
          <w14:textFill>
            <w14:solidFill>
              <w14:schemeClr w14:val="tx1"/>
            </w14:solidFill>
          </w14:textFill>
        </w:rPr>
        <w:t>决算数等于预算数，</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主要原因是我单位严格按预算执行决算；与上年一致，无增减变动，主要原因是按有关政策厉行节约，严控公务接待支出。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eastAsia="zh-CN"/>
          <w14:textFill>
            <w14:solidFill>
              <w14:schemeClr w14:val="tx1"/>
            </w14:solidFill>
          </w14:textFill>
        </w:rPr>
        <w:t>度</w:t>
      </w:r>
      <w:r>
        <w:rPr>
          <w:rFonts w:hint="eastAsia" w:ascii="仿宋_GB2312" w:hAnsi="仿宋_GB2312" w:eastAsia="仿宋_GB2312" w:cs="仿宋_GB2312"/>
          <w:color w:val="000000" w:themeColor="text1"/>
          <w:sz w:val="32"/>
          <w:szCs w:val="32"/>
          <w14:textFill>
            <w14:solidFill>
              <w14:schemeClr w14:val="tx1"/>
            </w14:solidFill>
          </w14:textFill>
        </w:rPr>
        <w:t>共接待来访团组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个、来宾</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人次，</w:t>
      </w:r>
      <w:r>
        <w:rPr>
          <w:rFonts w:hint="eastAsia" w:ascii="Times New Roman" w:hAnsi="Times New Roman" w:eastAsia="仿宋_GB2312"/>
          <w:color w:val="000000" w:themeColor="text1"/>
          <w:sz w:val="32"/>
          <w:szCs w:val="32"/>
          <w:lang w:eastAsia="zh-CN"/>
          <w14:textFill>
            <w14:solidFill>
              <w14:schemeClr w14:val="tx1"/>
            </w14:solidFill>
          </w14:textFill>
        </w:rPr>
        <w:t>我单位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w:t>
      </w:r>
      <w:r>
        <w:rPr>
          <w:rFonts w:hint="eastAsia" w:ascii="Times New Roman" w:hAnsi="Times New Roman" w:eastAsia="仿宋_GB2312"/>
          <w:color w:val="000000" w:themeColor="text1"/>
          <w:sz w:val="32"/>
          <w:szCs w:val="32"/>
          <w:lang w:eastAsia="zh-CN"/>
          <w14:textFill>
            <w14:solidFill>
              <w14:schemeClr w14:val="tx1"/>
            </w14:solidFill>
          </w14:textFill>
        </w:rPr>
        <w:t>年度无公务接待费支出。</w:t>
      </w:r>
    </w:p>
    <w:p w14:paraId="2965C47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13C4307A">
      <w:pPr>
        <w:pStyle w:val="14"/>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本单位为全额拨款事业单位，按照机关运行经费的口径，本年度机关运行经费为0。</w:t>
      </w:r>
    </w:p>
    <w:p w14:paraId="07288A58">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262C3193">
      <w:pPr>
        <w:pStyle w:val="14"/>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kern w:val="2"/>
          <w:sz w:val="32"/>
          <w:szCs w:val="32"/>
          <w:lang w:val="en-US" w:eastAsia="zh-CN" w:bidi="ar-SA"/>
        </w:rPr>
        <w:t>2025年度，本单位无会议费的预算和支出决算数；无培训费的预算和支出决算数；无举办节庆、晚会、论坛、赛事等活动的预算和支出决算数。</w:t>
      </w:r>
    </w:p>
    <w:p w14:paraId="184FBE2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04DF6188">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i/>
          <w:color w:val="FF0000"/>
          <w:sz w:val="32"/>
          <w:szCs w:val="32"/>
          <w:lang w:val="en-US" w:eastAsia="zh-CN"/>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158.32</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41.43</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116.88</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158.32</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158.32</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%，工程采购授予中小企业合同金额</w:t>
      </w:r>
      <w:r>
        <w:rPr>
          <w:rFonts w:hint="eastAsia" w:ascii="仿宋_GB2312" w:hAnsi="仿宋_GB2312" w:eastAsia="仿宋_GB2312" w:cs="仿宋_GB2312"/>
          <w:color w:val="auto"/>
          <w:sz w:val="32"/>
          <w:szCs w:val="32"/>
          <w:lang w:eastAsia="zh-CN"/>
        </w:rPr>
        <w:t>为</w:t>
      </w:r>
      <w:r>
        <w:rPr>
          <w:rFonts w:hint="eastAsia" w:ascii="仿宋_GB2312" w:hAnsi="仿宋_GB2312" w:eastAsia="仿宋_GB2312" w:cs="仿宋_GB2312"/>
          <w:color w:val="auto"/>
          <w:sz w:val="32"/>
          <w:szCs w:val="32"/>
          <w:lang w:val="en-US" w:eastAsia="zh-CN"/>
        </w:rPr>
        <w:t>0万元，故</w:t>
      </w:r>
      <w:r>
        <w:rPr>
          <w:rFonts w:hint="eastAsia" w:ascii="仿宋_GB2312" w:hAnsi="仿宋_GB2312" w:eastAsia="仿宋_GB2312" w:cs="仿宋_GB2312"/>
          <w:color w:val="auto"/>
          <w:sz w:val="32"/>
          <w:szCs w:val="32"/>
          <w:lang w:eastAsia="zh-CN"/>
        </w:rPr>
        <w:t>无法计算</w:t>
      </w:r>
      <w:r>
        <w:rPr>
          <w:rFonts w:hint="eastAsia" w:ascii="仿宋_GB2312" w:hAnsi="仿宋_GB2312" w:eastAsia="仿宋_GB2312" w:cs="仿宋_GB2312"/>
          <w:color w:val="auto"/>
          <w:sz w:val="32"/>
          <w:szCs w:val="32"/>
        </w:rPr>
        <w:t>工程支出</w:t>
      </w:r>
      <w:r>
        <w:rPr>
          <w:rFonts w:hint="eastAsia" w:ascii="仿宋_GB2312" w:hAnsi="仿宋_GB2312" w:eastAsia="仿宋_GB2312" w:cs="仿宋_GB2312"/>
          <w:color w:val="auto"/>
          <w:sz w:val="32"/>
          <w:szCs w:val="32"/>
          <w:lang w:eastAsia="zh-CN"/>
        </w:rPr>
        <w:t>占比</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14:paraId="085D0B06">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126D7FA6">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本单位共有车辆</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24</w:t>
      </w:r>
      <w:r>
        <w:rPr>
          <w:rFonts w:hint="eastAsia" w:ascii="仿宋_GB2312" w:hAnsi="仿宋_GB2312" w:eastAsia="仿宋_GB2312" w:cs="仿宋_GB2312"/>
          <w:color w:val="auto"/>
          <w:sz w:val="32"/>
          <w:szCs w:val="32"/>
        </w:rPr>
        <w:t>辆，其他用车主要是</w:t>
      </w:r>
      <w:r>
        <w:rPr>
          <w:rFonts w:hint="eastAsia" w:ascii="仿宋_GB2312" w:hAnsi="仿宋_GB2312" w:eastAsia="仿宋_GB2312" w:cs="仿宋_GB2312"/>
          <w:color w:val="auto"/>
          <w:sz w:val="32"/>
          <w:szCs w:val="32"/>
          <w:lang w:eastAsia="zh-CN"/>
        </w:rPr>
        <w:t>工程施工车辆等生产性车辆</w:t>
      </w:r>
      <w:r>
        <w:rPr>
          <w:rFonts w:hint="eastAsia" w:ascii="仿宋_GB2312" w:hAnsi="仿宋_GB2312" w:eastAsia="仿宋_GB2312" w:cs="仿宋_GB2312"/>
          <w:color w:val="auto"/>
          <w:sz w:val="32"/>
          <w:szCs w:val="32"/>
        </w:rPr>
        <w:t>；单位价值100万元以上设备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台（套）。</w:t>
      </w:r>
    </w:p>
    <w:p w14:paraId="349729B6">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w:t>
      </w:r>
      <w:r>
        <w:rPr>
          <w:rFonts w:hint="eastAsia" w:ascii="黑体" w:hAnsi="黑体" w:eastAsia="黑体" w:cs="黑体"/>
          <w:b w:val="0"/>
          <w:bCs/>
          <w:color w:val="auto"/>
          <w:sz w:val="32"/>
          <w:szCs w:val="32"/>
          <w:highlight w:val="none"/>
          <w:lang w:eastAsia="zh-CN"/>
        </w:rPr>
        <w:t>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083E28E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（一）绩效评价工作开展情况</w:t>
      </w:r>
    </w:p>
    <w:p w14:paraId="6C514A0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1、绩效自评开展情况。</w:t>
      </w:r>
      <w:r>
        <w:rPr>
          <w:rFonts w:hint="eastAsia" w:ascii="仿宋_GB2312" w:hAnsi="仿宋_GB2312" w:eastAsia="仿宋_GB2312" w:cs="仿宋_GB2312"/>
          <w:color w:val="auto"/>
          <w:sz w:val="32"/>
          <w:szCs w:val="32"/>
          <w:lang w:val="en-US" w:eastAsia="zh-CN"/>
        </w:rPr>
        <w:t>组织对2025年度本单位整体支出开展绩效自评，涉及项目7个，共涉及资金5154.96万元。其中，一般公共预算项目5个涉及资金4400.32万元，占一般公共预算支出总额的100%；政府性基金预算项目2个涉及资金754.64万元，占政府性基金预算支出总额的100%；国有资本经营预算项目0个涉及资金0万元（由于国有资本经营预算项目支出总额为0，故无法计算占国有资本经营预算项目支出总额的比重）；社会保险基金预算项目0个涉及资金0万元（由于社会保险基金预算项目支出总额为0，故无法计算占社会保险基金预算项目支出总额的比重）。</w:t>
      </w:r>
    </w:p>
    <w:p w14:paraId="63E4121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2</w:t>
      </w:r>
      <w:r>
        <w:rPr>
          <w:rFonts w:hint="eastAsia" w:ascii="仿宋_GB2312" w:hAnsi="仿宋_GB2312" w:eastAsia="仿宋_GB2312" w:cs="仿宋_GB2312"/>
          <w:color w:val="auto"/>
          <w:sz w:val="32"/>
          <w:szCs w:val="32"/>
          <w:lang w:val="en-US" w:eastAsia="zh-CN"/>
        </w:rPr>
        <w:t>025年度，我单位认真履行本部门职能职责，单位所属各部门年初目标任务完成较好，预算成本控制较好，整体支出绩效良好，达到了既定的目标要求。各类市政设施的标准化、精细化管理，城市市政公共服务质量和服务水平不断提升，改善了城市环境，提升了城市整体形象，增强了市民的幸福感和获得感，得到了上级领导和市民的普遍赞誉。</w:t>
      </w:r>
    </w:p>
    <w:p w14:paraId="69F4111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2、部门评价开展情况。</w:t>
      </w:r>
      <w:r>
        <w:rPr>
          <w:rFonts w:hint="eastAsia" w:ascii="仿宋_GB2312" w:hAnsi="仿宋_GB2312" w:eastAsia="仿宋_GB2312" w:cs="仿宋_GB2312"/>
          <w:color w:val="auto"/>
          <w:sz w:val="32"/>
          <w:szCs w:val="32"/>
          <w:lang w:val="en-US" w:eastAsia="zh-CN"/>
        </w:rPr>
        <w:t>本单位为二级预算单位，部门评价开展情况可祥见上级部门决算公开说明。</w:t>
      </w:r>
    </w:p>
    <w:p w14:paraId="2A96F508">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3、事前绩效评估开展情况。</w:t>
      </w:r>
      <w:r>
        <w:rPr>
          <w:rFonts w:hint="eastAsia" w:ascii="仿宋_GB2312" w:hAnsi="仿宋_GB2312" w:eastAsia="仿宋_GB2312" w:cs="仿宋_GB2312"/>
          <w:color w:val="auto"/>
          <w:sz w:val="32"/>
          <w:szCs w:val="32"/>
          <w:lang w:val="en-US" w:eastAsia="zh-CN"/>
        </w:rPr>
        <w:t>本单位为二级预算单位，事前绩效评估开展情况可祥见上级部门决算公开说明。</w:t>
      </w:r>
    </w:p>
    <w:p w14:paraId="06DE00E5">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（二）绩效评价结果</w:t>
      </w:r>
    </w:p>
    <w:p w14:paraId="3BECC30A">
      <w:pPr>
        <w:keepNext w:val="0"/>
        <w:keepLines w:val="0"/>
        <w:pageBreakBefore w:val="0"/>
        <w:numPr>
          <w:ilvl w:val="0"/>
          <w:numId w:val="0"/>
        </w:numPr>
        <w:kinsoku/>
        <w:wordWrap/>
        <w:overflowPunct/>
        <w:topLinePunct w:val="0"/>
        <w:autoSpaceDE/>
        <w:autoSpaceDN/>
        <w:bidi w:val="0"/>
        <w:adjustRightInd/>
        <w:snapToGrid/>
        <w:spacing w:line="580" w:lineRule="exact"/>
        <w:ind w:leftChars="200" w:firstLine="320" w:firstLineChars="1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auto"/>
          <w:sz w:val="32"/>
          <w:szCs w:val="32"/>
          <w:lang w:val="en-US" w:eastAsia="zh-CN"/>
        </w:rPr>
        <w:t xml:space="preserve">1、绩效自评结果。 </w:t>
      </w:r>
      <w:r>
        <w:rPr>
          <w:rFonts w:hint="default" w:ascii="仿宋_GB2312" w:hAnsi="仿宋_GB2312" w:eastAsia="仿宋_GB2312" w:cs="仿宋_GB2312"/>
          <w:color w:val="auto"/>
          <w:sz w:val="32"/>
          <w:szCs w:val="32"/>
          <w:lang w:val="en" w:eastAsia="zh-CN"/>
        </w:rPr>
        <w:t>202</w:t>
      </w:r>
      <w:r>
        <w:rPr>
          <w:rFonts w:hint="eastAsia" w:ascii="仿宋_GB2312" w:hAnsi="仿宋_GB2312" w:eastAsia="仿宋_GB2312" w:cs="仿宋_GB2312"/>
          <w:color w:val="auto"/>
          <w:sz w:val="32"/>
          <w:szCs w:val="32"/>
          <w:lang w:val="en-US" w:eastAsia="zh-CN"/>
        </w:rPr>
        <w:t>5年度本单位整体支出全年预算数为6611.64 万元，执行数为6591.21 万元，完成预算的99.69%，绩效自评得分为97.97 分，评价等级为优。绩效目标完成情况：</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狠抓设施管养，提升运维效能。</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坚持日常维护与专项工程双轮驱动，推动城市市政设施面貌整体改善。全年累计完成中心城区路面维修1.6万平方米、人行道维修3.7万平方米，维修更换各类检查井、雨水窗1400套，清理桥梁伸缩缝超3.9万米。高效处置各类信息平台任务超3.1万条，办结率与处置率均保持高位；圆满完成了服务湖南省第四届旅游发展大会的系列市容提质攻坚任务。高效优质完成了东茅岭路、花板桥路、滨湖路、赶山东路、望岳路、枫桥湖路、建湘北路、云梦路等重点道路提质改造，以及邕园路人行道海绵化改造、系列桥梁涂装翻新、南湖大道龙柱及文化墙翻新等工程，城市“颜值”与功能同步升级。以一流的设施面貌迎接八方来客，得到了上级和社会各界的充分肯定；排水系统清淤疏浚力度空前，全年累计完成中心城区及新港区排水管网清淤疏浚超23万米，外运淤泥逾3950立方米。完成各泵站设备检修维护210余次，及时对桐子岭、城东南路等泵站关键设备进行大修升级，保障了抽排系统高效运转，顺利完成多项新建排水设施及道路的检测、移交与接管工作。</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二是强化应急处突，筑牢安全防线。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面对极端天气和突发险情，反应迅速、处置有力，切实守护了城市运行安全底线。成功应对多次强降雨过程，全年启动防汛应急响应30余班次，累计出动人员逾1100人次、车辆设备230余台次。创新落实积水点“一点一策”和“四重机制”，对重点易涝点实行专人值守、提前布防，确保了城区安全度汛。快速妥善处置了长山路泵站出水管塌陷、金东门明渠围墙倒塌、省三医院主涵盖板塌陷、洞庭北路水管塌陷非开挖修复等应急险情20余处，消除了重大安全隐患。</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三是推动技术革新，促进管理升级。</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四新”技术应用取得突破，推广“人工+机器人”清淤、非开挖修复等技术，完成精细化灌缝12.3万米。精细化管理持续深化，严把项目接管关，完善泵站考核等制度。智慧化辅助初见成效，试点探索无人机、管道机器人等技术应用。</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四是聚力党建引领，锻造过硬队伍。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严格落实“第一议题”制度，深入开展党纪学习教育，筑牢思想防线。设立“党员先锋岗”，在防汛抢险、工程攻坚等急难险重任务中，党组织战斗堡垒和党员先锋模范作用充分彰显。将安全发展理念贯穿始终，常态化开展安全生产大检查，完成47座桥隧技术状况评定，重点加强有限空间、高空作业等环节监管。全年未发生安全生产责任事故，定期组织安全培训和应急演练，提升全员能力。</w:t>
      </w:r>
    </w:p>
    <w:p w14:paraId="16F16592">
      <w:pPr>
        <w:pStyle w:val="5"/>
        <w:keepNext w:val="0"/>
        <w:keepLines w:val="0"/>
        <w:pageBreakBefore w:val="0"/>
        <w:numPr>
          <w:ilvl w:val="0"/>
          <w:numId w:val="0"/>
        </w:numPr>
        <w:wordWrap/>
        <w:overflowPunct/>
        <w:topLinePunct w:val="0"/>
        <w:bidi w:val="0"/>
        <w:spacing w:line="58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sz w:val="32"/>
          <w:szCs w:val="32"/>
          <w:lang w:val="en-US" w:eastAsia="zh-CN"/>
        </w:rPr>
        <w:t>发现的问题及原因：一是预算编制不够精准，主要原因为单位编制预算时对部分应急项目发生的可能性预估不够，造成了一定的预算调整；二是预算绩效目标编制不够规范，指标关联细化程度有待进一步提升，主要原因为相关政策法规掌握不够全面，各科室间交流沟通还有待进一步加强。</w:t>
      </w:r>
      <w:r>
        <w:rPr>
          <w:rFonts w:hint="eastAsia" w:ascii="仿宋_GB2312" w:hAnsi="仿宋_GB2312" w:eastAsia="仿宋_GB2312" w:cs="仿宋_GB2312"/>
          <w:color w:val="auto"/>
          <w:kern w:val="0"/>
          <w:sz w:val="32"/>
          <w:szCs w:val="32"/>
          <w:lang w:val="en-US" w:eastAsia="zh-CN" w:bidi="ar-SA"/>
        </w:rPr>
        <w:t>下一步改进措施：一是科学合理编制预算，严格执行预算，避免年中大幅追加预算；二是充实绩效管理人才队伍，加强各科室间协作联动，提升绩效管理水平。</w:t>
      </w:r>
    </w:p>
    <w:p w14:paraId="0B753E8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2、部门评价结果。</w:t>
      </w:r>
      <w:r>
        <w:rPr>
          <w:rFonts w:hint="eastAsia" w:ascii="仿宋_GB2312" w:hAnsi="仿宋_GB2312" w:eastAsia="仿宋_GB2312" w:cs="仿宋_GB2312"/>
          <w:b w:val="0"/>
          <w:bCs w:val="0"/>
          <w:color w:val="auto"/>
          <w:sz w:val="32"/>
          <w:szCs w:val="32"/>
          <w:lang w:val="en-US" w:eastAsia="zh-CN"/>
        </w:rPr>
        <w:t>本单位为二级预算单位，部门评价结果可祥见上级部门决算公开说明。</w:t>
      </w:r>
    </w:p>
    <w:p w14:paraId="22F0065F">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3、事前绩效评估结果。</w:t>
      </w:r>
      <w:r>
        <w:rPr>
          <w:rFonts w:hint="eastAsia" w:ascii="仿宋_GB2312" w:hAnsi="仿宋_GB2312" w:eastAsia="仿宋_GB2312" w:cs="仿宋_GB2312"/>
          <w:b w:val="0"/>
          <w:bCs w:val="0"/>
          <w:color w:val="auto"/>
          <w:sz w:val="32"/>
          <w:szCs w:val="32"/>
          <w:lang w:val="en-US" w:eastAsia="zh-CN"/>
        </w:rPr>
        <w:t>本单位为二级预算单位，事前绩效评估结果可祥见上级部门决算公开说明。</w:t>
      </w:r>
    </w:p>
    <w:p w14:paraId="2F0D9AF5">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（三）评价结果应用情况</w:t>
      </w:r>
    </w:p>
    <w:p w14:paraId="77113B9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default"/>
          <w:b/>
          <w:bCs/>
          <w:sz w:val="32"/>
          <w:szCs w:val="32"/>
          <w:lang w:val="en-US" w:eastAsia="zh-CN"/>
        </w:rPr>
      </w:pPr>
      <w:r>
        <w:rPr>
          <w:rFonts w:hint="eastAsia" w:ascii="仿宋_GB2312" w:hAnsi="仿宋_GB2312" w:eastAsia="仿宋_GB2312" w:cs="仿宋_GB2312"/>
          <w:b w:val="0"/>
          <w:bCs w:val="0"/>
          <w:color w:val="auto"/>
          <w:sz w:val="32"/>
          <w:szCs w:val="32"/>
          <w:lang w:eastAsia="zh-CN"/>
        </w:rPr>
        <w:t>结合</w:t>
      </w:r>
      <w:r>
        <w:rPr>
          <w:rFonts w:hint="eastAsia" w:ascii="仿宋_GB2312" w:hAnsi="仿宋_GB2312" w:eastAsia="仿宋_GB2312" w:cs="仿宋_GB2312"/>
          <w:b w:val="0"/>
          <w:bCs w:val="0"/>
          <w:color w:val="auto"/>
          <w:sz w:val="32"/>
          <w:szCs w:val="32"/>
          <w:lang w:val="en-US" w:eastAsia="zh-CN"/>
        </w:rPr>
        <w:t>2025年度绩效自评结果，我单位在编制2026年预算时，认真贯彻厉行节约的原则，严格控制各项经费的编制；严格把控各项目资金的使用，保证项目资金使用的合理性；及时关注预算的的执行情况，以确保预算执行的效率和效果。</w:t>
      </w:r>
      <w:r>
        <w:rPr>
          <w:rFonts w:hint="eastAsia"/>
          <w:sz w:val="32"/>
          <w:szCs w:val="32"/>
          <w:lang w:val="en-US" w:eastAsia="zh-CN"/>
        </w:rPr>
        <w:t xml:space="preserve">  </w:t>
      </w:r>
    </w:p>
    <w:p w14:paraId="1142F00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0"/>
          <w:sz w:val="32"/>
          <w:szCs w:val="32"/>
          <w:lang w:val="en-US" w:eastAsia="zh-CN" w:bidi="ar-SA"/>
        </w:rPr>
        <w:t>预算绩效管理开展情况、绩效目标和绩效评价报告等，已在市政府部门财政预决算公开平台上向社会公开，详见附件</w:t>
      </w:r>
      <w:r>
        <w:rPr>
          <w:rFonts w:hint="eastAsia" w:ascii="仿宋_GB2312" w:hAnsi="仿宋_GB2312" w:eastAsia="仿宋_GB2312" w:cs="仿宋_GB2312"/>
          <w:color w:val="auto"/>
          <w:sz w:val="32"/>
          <w:szCs w:val="32"/>
          <w:lang w:val="en-US" w:eastAsia="zh-CN"/>
        </w:rPr>
        <w:t>。</w:t>
      </w:r>
    </w:p>
    <w:p w14:paraId="1C47C5D4">
      <w:pPr>
        <w:pStyle w:val="14"/>
        <w:keepNext w:val="0"/>
        <w:keepLines w:val="0"/>
        <w:pageBreakBefore w:val="0"/>
        <w:widowControl w:val="0"/>
        <w:kinsoku/>
        <w:wordWrap/>
        <w:overflowPunct/>
        <w:topLinePunct w:val="0"/>
        <w:bidi w:val="0"/>
        <w:snapToGrid/>
        <w:spacing w:line="600" w:lineRule="exact"/>
        <w:ind w:firstLine="560" w:firstLineChars="200"/>
        <w:textAlignment w:val="auto"/>
        <w:rPr>
          <w:rFonts w:hint="eastAsia" w:ascii="仿宋_GB2312" w:hAnsi="仿宋_GB2312" w:eastAsia="仿宋_GB2312" w:cs="仿宋_GB2312"/>
          <w:color w:val="auto"/>
          <w:sz w:val="28"/>
          <w:szCs w:val="28"/>
          <w:lang w:val="en-US" w:eastAsia="zh-CN"/>
        </w:rPr>
      </w:pPr>
    </w:p>
    <w:p w14:paraId="6A82D6AE">
      <w:pPr>
        <w:pStyle w:val="14"/>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color w:val="FF0000"/>
          <w:sz w:val="32"/>
          <w:szCs w:val="32"/>
        </w:rPr>
      </w:pPr>
    </w:p>
    <w:p w14:paraId="1DD6142D">
      <w:pPr>
        <w:pStyle w:val="14"/>
        <w:jc w:val="center"/>
        <w:rPr>
          <w:rFonts w:hint="eastAsia" w:ascii="方正小标宋_GBK" w:hAnsi="方正小标宋_GBK" w:eastAsia="方正小标宋_GBK" w:cs="方正小标宋_GBK"/>
          <w:sz w:val="72"/>
          <w:szCs w:val="72"/>
        </w:rPr>
      </w:pPr>
    </w:p>
    <w:p w14:paraId="5E4CA60A">
      <w:pPr>
        <w:pStyle w:val="14"/>
        <w:jc w:val="center"/>
        <w:rPr>
          <w:rFonts w:hint="eastAsia" w:ascii="方正小标宋_GBK" w:hAnsi="方正小标宋_GBK" w:eastAsia="方正小标宋_GBK" w:cs="方正小标宋_GBK"/>
          <w:sz w:val="72"/>
          <w:szCs w:val="72"/>
        </w:rPr>
      </w:pPr>
    </w:p>
    <w:p w14:paraId="65A249B5">
      <w:pPr>
        <w:pStyle w:val="14"/>
        <w:jc w:val="center"/>
        <w:rPr>
          <w:rFonts w:hint="eastAsia" w:ascii="方正小标宋_GBK" w:hAnsi="方正小标宋_GBK" w:eastAsia="方正小标宋_GBK" w:cs="方正小标宋_GBK"/>
          <w:sz w:val="72"/>
          <w:szCs w:val="72"/>
        </w:rPr>
      </w:pPr>
    </w:p>
    <w:p w14:paraId="6F854BC2">
      <w:pPr>
        <w:pStyle w:val="14"/>
        <w:jc w:val="center"/>
        <w:rPr>
          <w:rFonts w:hint="eastAsia" w:ascii="方正小标宋_GBK" w:hAnsi="方正小标宋_GBK" w:eastAsia="方正小标宋_GBK" w:cs="方正小标宋_GBK"/>
          <w:sz w:val="72"/>
          <w:szCs w:val="72"/>
        </w:rPr>
      </w:pPr>
    </w:p>
    <w:p w14:paraId="2D56D271">
      <w:pPr>
        <w:pStyle w:val="14"/>
        <w:jc w:val="center"/>
        <w:rPr>
          <w:rFonts w:hint="eastAsia" w:ascii="方正小标宋_GBK" w:hAnsi="方正小标宋_GBK" w:eastAsia="方正小标宋_GBK" w:cs="方正小标宋_GBK"/>
          <w:sz w:val="72"/>
          <w:szCs w:val="72"/>
        </w:rPr>
      </w:pPr>
    </w:p>
    <w:p w14:paraId="79283F5F">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3B2199B2">
      <w:pPr>
        <w:jc w:val="center"/>
        <w:rPr>
          <w:rFonts w:hint="eastAsia" w:ascii="方正小标宋_GBK" w:hAnsi="方正小标宋_GBK" w:eastAsia="方正小标宋_GBK" w:cs="方正小标宋_GBK"/>
          <w:color w:val="000000"/>
          <w:kern w:val="0"/>
          <w:sz w:val="70"/>
          <w:szCs w:val="70"/>
        </w:rPr>
      </w:pPr>
    </w:p>
    <w:p w14:paraId="5AE03338">
      <w:pPr>
        <w:pStyle w:val="14"/>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149D9209">
      <w:pPr>
        <w:pStyle w:val="2"/>
      </w:pPr>
    </w:p>
    <w:p w14:paraId="285DB98F">
      <w:pPr>
        <w:pStyle w:val="3"/>
      </w:pPr>
    </w:p>
    <w:p w14:paraId="6F5C84BB"/>
    <w:p w14:paraId="24782EC5">
      <w:pPr>
        <w:pStyle w:val="2"/>
      </w:pPr>
    </w:p>
    <w:p w14:paraId="089F6A1D">
      <w:pPr>
        <w:pStyle w:val="3"/>
      </w:pPr>
    </w:p>
    <w:p w14:paraId="0622795F"/>
    <w:p w14:paraId="3C8ECCE5">
      <w:pPr>
        <w:pStyle w:val="2"/>
      </w:pPr>
    </w:p>
    <w:p w14:paraId="7E2BFE08">
      <w:pPr>
        <w:pStyle w:val="3"/>
      </w:pPr>
    </w:p>
    <w:p w14:paraId="70AD60F2"/>
    <w:p w14:paraId="0790CF9E">
      <w:pPr>
        <w:pStyle w:val="2"/>
      </w:pPr>
    </w:p>
    <w:p w14:paraId="434C2423">
      <w:pPr>
        <w:pStyle w:val="3"/>
      </w:pPr>
    </w:p>
    <w:p w14:paraId="481ED91A"/>
    <w:p w14:paraId="76F7402D">
      <w:pPr>
        <w:pStyle w:val="2"/>
      </w:pPr>
    </w:p>
    <w:p w14:paraId="00F20EAD">
      <w:pPr>
        <w:pStyle w:val="3"/>
      </w:pPr>
    </w:p>
    <w:p w14:paraId="6255B7A2"/>
    <w:p w14:paraId="2A2F2891">
      <w:pPr>
        <w:pStyle w:val="2"/>
      </w:pPr>
    </w:p>
    <w:p w14:paraId="0755CAF4">
      <w:pPr>
        <w:ind w:firstLine="640" w:firstLineChars="200"/>
        <w:jc w:val="left"/>
        <w:rPr>
          <w:rFonts w:hint="eastAsia" w:ascii="仿宋_GB2312" w:hAnsi="仿宋_GB2312" w:eastAsia="仿宋_GB2312" w:cs="仿宋_GB2312"/>
          <w:color w:val="000000"/>
          <w:kern w:val="0"/>
          <w:sz w:val="32"/>
          <w:szCs w:val="32"/>
        </w:rPr>
      </w:pPr>
    </w:p>
    <w:p w14:paraId="7277D7EA">
      <w:pPr>
        <w:jc w:val="left"/>
        <w:rPr>
          <w:rFonts w:hint="eastAsia" w:ascii="仿宋_GB2312" w:hAnsi="仿宋_GB2312" w:eastAsia="仿宋_GB2312" w:cs="仿宋_GB2312"/>
          <w:color w:val="000000"/>
          <w:kern w:val="0"/>
          <w:sz w:val="32"/>
          <w:szCs w:val="32"/>
        </w:rPr>
      </w:pPr>
      <w:bookmarkStart w:id="0" w:name="_GoBack"/>
      <w:bookmarkEnd w:id="0"/>
    </w:p>
    <w:p w14:paraId="2F1B524E">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65A9655">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592FD6AB">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3、财政拨款收入：指本级财政当年拨付的资金。</w:t>
      </w:r>
    </w:p>
    <w:p w14:paraId="58955B2B">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4、其他收入：指除上述“财政拨款收入”、“上级补助收入”、“事业收入”、“经营收入”、“附属单位上缴收入”等以外的收入。</w:t>
      </w:r>
    </w:p>
    <w:p w14:paraId="69DCF437">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5、上年结转和结余：指以前年度尚未完成、结转到本年按有关规定继续使用的资金。</w:t>
      </w:r>
    </w:p>
    <w:p w14:paraId="404FB92D">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6、年末结转和结余资金：指本年度或以前年度预算安排、因客观条件发生变化无法按原计划实施，需要延迟到以后年度按有关规定继续使用的资金。</w:t>
      </w:r>
    </w:p>
    <w:p w14:paraId="60C39C6E">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7、基本支出：指保障机构正常运转、完成支日常工作任务而发生的人员支出和公用支出。</w:t>
      </w:r>
    </w:p>
    <w:p w14:paraId="770D1B38">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8、项目支出：指在基本支出之外为完成特定行政任务和事业发展目标所发生的支出。</w:t>
      </w:r>
    </w:p>
    <w:p w14:paraId="00306773">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9、政府采购 ：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18341A88">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10、工资福利支出：反映单位开支的在职职工和编制外长期聘用人员的各类劳动报酬，以及为上述人员缴纳的各项社会保险费等。</w:t>
      </w:r>
    </w:p>
    <w:p w14:paraId="0FF5617E">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11、基本工资：反映按规定发放的基本工资，包括公务员的职务工资、级别工资；机关工人的岗位工资、技术等级工资；事业单位工作人员的岗位工资、薪级工资；各类学校毕业生试用期(见习期)工资、新参加工作工人学徒期、熟练期工资；军队（武警）军官、文职干部的职务（专业技术等级）工资。</w:t>
      </w:r>
    </w:p>
    <w:p w14:paraId="41AD08DC">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12、津贴补贴：反映经国家批准建立的机关事业单位艰苦边远地区津贴、机关工作人员地区附加津贴、机关工作人员岗位津贴、事业单位工作人员特殊岗位津贴补贴等。</w:t>
      </w:r>
    </w:p>
    <w:p w14:paraId="362496E1">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13、奖金：反映机关工作人员年终一次性奖金。</w:t>
      </w:r>
    </w:p>
    <w:p w14:paraId="3563789E">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14、其他社会保障缴费：反映单位为职工缴纳的基本医疗、失业、工伤、生育等社会保险费，残疾人就业保障金，军队（含武警）为军人缴纳的伤亡、退役医疗等社会保险费。</w:t>
      </w:r>
    </w:p>
    <w:p w14:paraId="187B2FF3">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15、伙食补助费：反映单位发给职工的伙食补助费，如误餐补助等。</w:t>
      </w:r>
    </w:p>
    <w:p w14:paraId="2348E01F">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16、绩效工资：反映事业单位工作人员的绩效工资。</w:t>
      </w:r>
    </w:p>
    <w:p w14:paraId="4F39A90F">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17、机关事业单位基本养老保险缴费：反映机关事业单位缴纳的基本养老保险费。由单位代扣的工作人员基本养老保险缴费，不在此科目反映。</w:t>
      </w:r>
    </w:p>
    <w:p w14:paraId="54A0972C">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18、职业年金缴费：反映机关事业单位实际缴纳的职业年金支出。由单位代扣的工作人员职业年金缴费，不在此科目反映。</w:t>
      </w:r>
    </w:p>
    <w:p w14:paraId="60C08538">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19、其他工资福利支出：反映上述项目未包括的人员支出，如各种加班工资、病假两个月以上期间的人员工资、编制外长期聘用人员，公务员及参照和依照公务员制度管理的单位工作人员转入企业工作并按规定参加企业职工基本养老保险后给予的一次性补贴等。</w:t>
      </w:r>
    </w:p>
    <w:p w14:paraId="6A3B2E7B">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20、商品和服务支出：反映单位购买商品和服务的支出（不包括用于购置固定资产的支出、战略性和应急储备支出）。</w:t>
      </w:r>
    </w:p>
    <w:p w14:paraId="13A1FC23">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21、办公费：反映单位购买按财务会计制度规定不符合固定资产确认标准的日常办公用品、书报杂志等支出。</w:t>
      </w:r>
    </w:p>
    <w:p w14:paraId="353C753F">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22、印刷费：反映单位的印刷费支出。</w:t>
      </w:r>
    </w:p>
    <w:p w14:paraId="04F57831">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23、咨询费：反映单位咨询方面的支出。</w:t>
      </w:r>
    </w:p>
    <w:p w14:paraId="6BB42DE0">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24、手续费：反映单位支付的各类手续费支出。</w:t>
      </w:r>
    </w:p>
    <w:p w14:paraId="11A26E1E">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25、水费：反映单位支付的水费、污水处理费等支出。</w:t>
      </w:r>
    </w:p>
    <w:p w14:paraId="7E800F11">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26、电费：反映单位的电费支出。</w:t>
      </w:r>
    </w:p>
    <w:p w14:paraId="4E007CCD">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27、邮电费：反映单位开支的信函、包裹、货物等物品的邮寄费及电话费、电报费、传真费、网络通讯费等。</w:t>
      </w:r>
    </w:p>
    <w:p w14:paraId="5FAA8DD3">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28、物业管理费：反映单位开支的办公用房以及未实行职工住宅物业服务改革的在职职工和离退休人员宿舍等的物业管理费，包括综合治理、绿化、卫生等方面的支出。</w:t>
      </w:r>
    </w:p>
    <w:p w14:paraId="2D7E9857">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29、差旅费：反映单位工作人员出差发生的城市间交通费、住宿费、伙食补贴费和市内交通费。</w:t>
      </w:r>
    </w:p>
    <w:p w14:paraId="41A2E731">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30、维修(护)费：反映单位日常开支的固定资产（不包括车船等交通工具）修理和维护费用，网络信息系统运行与维护费用，以及按规定提取的修购基金。</w:t>
      </w:r>
    </w:p>
    <w:p w14:paraId="683041BE">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31、租赁费：反映租赁办公用房、宿舍、专用通讯网以及其他设备等方面的费用。</w:t>
      </w:r>
    </w:p>
    <w:p w14:paraId="0036EA6F">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32、会议费：反映会议中按规定开支的住宿费、伙食费、会议室租金、交通费、文件印刷费、医药费等。</w:t>
      </w:r>
    </w:p>
    <w:p w14:paraId="1FAAB1D6">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33、培训费：反映除因公出国（境）培训费以外的各类培训支出。</w:t>
      </w:r>
    </w:p>
    <w:p w14:paraId="7F46B2CF">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34、公务接待费：反映单位按规定开支的各类公务接待（含外宾接待）费用。</w:t>
      </w:r>
    </w:p>
    <w:p w14:paraId="634471BD">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35、专用材料费：反映单位购买日常专用材料的支出。具体包括药品及医疗耗材，农用材料，兽医用品，实验室用品，专用服装，消耗性体育用品，专用工具和仪器，艺术部门专用材料和用品，广播电视台发射台发射机的电力、材料等方面的支出。</w:t>
      </w:r>
    </w:p>
    <w:p w14:paraId="4B098D30">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36、劳务费：反映支付给单位和个人的劳务费用，如临时聘用人员、钟点工工资，稿费、翻译费，评审费等。</w:t>
      </w:r>
    </w:p>
    <w:p w14:paraId="6E99FDA9">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37、委托业务费：反映因委托外单位办理业务而支付的委托业务费。</w:t>
      </w:r>
    </w:p>
    <w:p w14:paraId="59B85544">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38、工会经费：反映单位按规定提取的工会经费。</w:t>
      </w:r>
    </w:p>
    <w:p w14:paraId="50C26DEC">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39、福利费：反映单位按规定提取的福利费。</w:t>
      </w:r>
    </w:p>
    <w:p w14:paraId="3DD0FD03">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40、公务用车运行维护费：反映单位按规定保留的公务用车燃料费、维修费、过桥过路费、保险费、安全奖励费用等支出。</w:t>
      </w:r>
    </w:p>
    <w:p w14:paraId="4A76E8EB">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41、其他交通费用：反映单位除公务用车运行维护费以外的其他交通费用。如公务交通补贴，租车费用、出租车费用，飞机、船舶等的燃料费、维修费、保险费等。</w:t>
      </w:r>
    </w:p>
    <w:p w14:paraId="0A2148EE">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42、其他商品和服务支出：反映上述科目未包括的日常公用支出。如行政赔偿费和诉讼费、国内组织的会员费、来访费、广告宣传、其他劳务费及离休人员特需费、公用经费等。</w:t>
      </w:r>
    </w:p>
    <w:p w14:paraId="404879EF">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43、对个人和家庭的补助：反映政府用于对个人和家庭的补助支出。</w:t>
      </w:r>
    </w:p>
    <w:p w14:paraId="2DA36888">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44、生活补助：反映按规定开支的优抚对象定期定量生活补助费，退役军人生活补助费，行政事业单位职工和遗属生活补助，因公负伤等住院治疗、住疗养院期间的伙食补助费，长期赡养人员补助费，由于国家实行退耕还林禁牧舍饲政策补偿给农牧民的现金、粮食支出，对农村党员、复员军人。</w:t>
      </w:r>
    </w:p>
    <w:p w14:paraId="62707857">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45、救济费：反映按规定开支的城乡贫困人员、灾民、归侨、外侨及其他人员的生活救济费，包括城市居民的最低生活保障费，随同资源枯竭矿山破产但未参加养老保险统筹的矿山所属集体企业退休人员按最低生活保障标准发放的生活费，农村五保供养对象、贫困户、麻风病人的生活救济费。</w:t>
      </w:r>
    </w:p>
    <w:p w14:paraId="0C957D56">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46、医疗费：反映行政事业单位在职职工、离退休人员的医疗费，军队移交政府安置的离退休人员的医疗费，学生医疗费，优抚对象医疗补助，以及按国家规定资助农民参加新型农村合作医疗和城镇居民参加城镇居民基本医疗保险的支出和对城乡贫困家庭的医疗救助支出。</w:t>
      </w:r>
    </w:p>
    <w:p w14:paraId="68E34D08">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47、住房公积金：反映行政事业单位按人力资源和社会保障部、财政部规定的基本工资和津贴补贴以及规定比例为职工缴纳的住房公积金。</w:t>
      </w:r>
    </w:p>
    <w:p w14:paraId="073BEF53">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48、其他对个人和家庭的补助支出：反映未包括在上述科目的对个人和家庭的补助支出，如婴幼儿补贴、职工探亲旅费、退职人员及随行家属路费、符合条件的退役回乡义务兵一次性建房补助、符合安置条件的城镇退役士兵自谋职业的一次性经济补助费、对农户的生产经营补贴、保障性住房租。</w:t>
      </w:r>
    </w:p>
    <w:p w14:paraId="7A3819C6">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49、其他资本性支出：反映发展与改革部门以外的其他部门安排的用于购置固定资产、战略性和应急性储备、土地和无形资产，以及购建基础设施、大型修缮和财政支持企业更新改造所发生的支出。</w:t>
      </w:r>
    </w:p>
    <w:p w14:paraId="76E0BD25">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50、办公设备购置：反映用于购置并按财务会计制度规定纳入固定资产核算范围的办公家具和办公设备的支出，以及按规定提取的修购基金。</w:t>
      </w:r>
    </w:p>
    <w:p w14:paraId="531F7D72">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51、专用设备购置：反映用于购置具有专门用途、并按财务会计制度规定纳入固定资产核算范围的各类专用设备的支出。如通信设备、发电设备、交通监控设备、卫星转发器、气象设备、进出口监管设备等，以及按规定提取的修购基金。</w:t>
      </w:r>
    </w:p>
    <w:p w14:paraId="299EEBCA">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52、其他交通工具购置：反映单位除公务用车外的其他各类交通工具(如船舶、飞机等)购置支出（含车辆购置税）。</w:t>
      </w:r>
    </w:p>
    <w:p w14:paraId="33A9E972">
      <w:pPr>
        <w:keepNext w:val="0"/>
        <w:keepLines w:val="0"/>
        <w:pageBreakBefore w:val="0"/>
        <w:widowControl w:val="0"/>
        <w:kinsoku/>
        <w:wordWrap/>
        <w:overflowPunct/>
        <w:topLinePunct w:val="0"/>
        <w:autoSpaceDE/>
        <w:bidi w:val="0"/>
        <w:spacing w:line="600" w:lineRule="exact"/>
        <w:ind w:firstLine="640" w:firstLineChars="200"/>
        <w:rPr>
          <w:rFonts w:hint="eastAsia" w:ascii="仿宋_GB2312" w:hAnsi="仿宋_GB2312" w:eastAsia="仿宋_GB2312" w:cs="仿宋_GB2312"/>
          <w:color w:val="auto"/>
          <w:kern w:val="0"/>
          <w:sz w:val="28"/>
          <w:szCs w:val="28"/>
          <w:lang w:val="en-US" w:eastAsia="zh-CN" w:bidi="ar-SA"/>
        </w:rPr>
      </w:pPr>
      <w:r>
        <w:rPr>
          <w:rFonts w:hint="eastAsia" w:ascii="仿宋_GB2312" w:hAnsi="仿宋_GB2312" w:eastAsia="仿宋_GB2312" w:cs="仿宋_GB2312"/>
          <w:color w:val="auto"/>
          <w:kern w:val="0"/>
          <w:sz w:val="32"/>
          <w:szCs w:val="32"/>
          <w:lang w:val="en-US" w:eastAsia="zh-CN" w:bidi="ar-SA"/>
        </w:rPr>
        <w:t>53、其他资本性支出：反映著作权、商标权、专利权等无形资产购置支出，以及其他上述科目中未包括的资本性支出。如娱乐、文化和艺术原作的使用权、购买国内外影片播映权、购置图书等。</w:t>
      </w:r>
    </w:p>
    <w:p w14:paraId="0513A7E3">
      <w:pPr>
        <w:ind w:firstLine="640" w:firstLineChars="200"/>
        <w:jc w:val="left"/>
        <w:rPr>
          <w:rFonts w:hint="eastAsia" w:ascii="仿宋_GB2312" w:hAnsi="仿宋_GB2312" w:eastAsia="仿宋_GB2312" w:cs="仿宋_GB2312"/>
          <w:color w:val="000000"/>
          <w:kern w:val="0"/>
          <w:sz w:val="32"/>
          <w:szCs w:val="32"/>
        </w:rPr>
      </w:pPr>
    </w:p>
    <w:p w14:paraId="725B64AB">
      <w:pPr>
        <w:pStyle w:val="3"/>
      </w:pPr>
    </w:p>
    <w:p w14:paraId="0DF7E04F"/>
    <w:p w14:paraId="687355AC">
      <w:pPr>
        <w:pStyle w:val="2"/>
      </w:pPr>
    </w:p>
    <w:p w14:paraId="11FA7171">
      <w:pPr>
        <w:pStyle w:val="3"/>
      </w:pPr>
    </w:p>
    <w:p w14:paraId="52362460"/>
    <w:p w14:paraId="46D1A844">
      <w:pPr>
        <w:pStyle w:val="2"/>
      </w:pPr>
    </w:p>
    <w:p w14:paraId="4EF03D80">
      <w:pPr>
        <w:pStyle w:val="3"/>
      </w:pPr>
    </w:p>
    <w:p w14:paraId="7A8B53D5"/>
    <w:p w14:paraId="5AF53D3F">
      <w:pPr>
        <w:pStyle w:val="2"/>
      </w:pPr>
    </w:p>
    <w:p w14:paraId="5CA6C858">
      <w:pPr>
        <w:pStyle w:val="3"/>
      </w:pPr>
    </w:p>
    <w:p w14:paraId="439BD5DE"/>
    <w:p w14:paraId="7A79B7FC">
      <w:pPr>
        <w:pStyle w:val="2"/>
      </w:pPr>
    </w:p>
    <w:p w14:paraId="723B2694">
      <w:pPr>
        <w:pStyle w:val="3"/>
      </w:pPr>
    </w:p>
    <w:p w14:paraId="451B45DD"/>
    <w:p w14:paraId="5C05EEF7">
      <w:pPr>
        <w:pStyle w:val="2"/>
      </w:pPr>
    </w:p>
    <w:p w14:paraId="6981F404">
      <w:pPr>
        <w:pStyle w:val="3"/>
      </w:pPr>
    </w:p>
    <w:p w14:paraId="4AFB3735"/>
    <w:p w14:paraId="2C5BC49B">
      <w:pPr>
        <w:pStyle w:val="2"/>
      </w:pPr>
    </w:p>
    <w:p w14:paraId="3EE40DC0">
      <w:pPr>
        <w:pStyle w:val="3"/>
      </w:pPr>
    </w:p>
    <w:p w14:paraId="74F4BC99"/>
    <w:p w14:paraId="51D18E18"/>
    <w:p w14:paraId="62C06FDD">
      <w:pPr>
        <w:pStyle w:val="2"/>
      </w:pPr>
    </w:p>
    <w:p w14:paraId="413FB73C">
      <w:pPr>
        <w:pStyle w:val="14"/>
        <w:jc w:val="both"/>
        <w:rPr>
          <w:rFonts w:hint="eastAsia" w:ascii="方正小标宋_GBK" w:hAnsi="方正小标宋_GBK" w:eastAsia="方正小标宋_GBK" w:cs="方正小标宋_GBK"/>
          <w:sz w:val="72"/>
          <w:szCs w:val="72"/>
        </w:rPr>
      </w:pPr>
    </w:p>
    <w:p w14:paraId="561DF712">
      <w:pPr>
        <w:pStyle w:val="14"/>
        <w:jc w:val="center"/>
        <w:rPr>
          <w:rFonts w:hint="eastAsia" w:ascii="方正小标宋_GBK" w:hAnsi="方正小标宋_GBK" w:eastAsia="方正小标宋_GBK" w:cs="方正小标宋_GBK"/>
          <w:sz w:val="72"/>
          <w:szCs w:val="72"/>
        </w:rPr>
      </w:pPr>
    </w:p>
    <w:p w14:paraId="5C2B970B">
      <w:pPr>
        <w:pStyle w:val="14"/>
        <w:jc w:val="center"/>
        <w:rPr>
          <w:rFonts w:hint="eastAsia" w:ascii="方正小标宋_GBK" w:hAnsi="方正小标宋_GBK" w:eastAsia="方正小标宋_GBK" w:cs="方正小标宋_GBK"/>
          <w:sz w:val="72"/>
          <w:szCs w:val="72"/>
        </w:rPr>
      </w:pPr>
    </w:p>
    <w:p w14:paraId="79D9575F">
      <w:pPr>
        <w:pStyle w:val="14"/>
        <w:jc w:val="center"/>
        <w:rPr>
          <w:rFonts w:hint="eastAsia" w:ascii="方正小标宋_GBK" w:hAnsi="方正小标宋_GBK" w:eastAsia="方正小标宋_GBK" w:cs="方正小标宋_GBK"/>
          <w:sz w:val="72"/>
          <w:szCs w:val="72"/>
        </w:rPr>
      </w:pPr>
    </w:p>
    <w:p w14:paraId="4B5318CB">
      <w:pPr>
        <w:pStyle w:val="14"/>
        <w:jc w:val="center"/>
        <w:rPr>
          <w:rFonts w:hint="eastAsia" w:ascii="方正小标宋_GBK" w:hAnsi="方正小标宋_GBK" w:eastAsia="方正小标宋_GBK" w:cs="方正小标宋_GBK"/>
          <w:sz w:val="72"/>
          <w:szCs w:val="72"/>
        </w:rPr>
      </w:pPr>
    </w:p>
    <w:p w14:paraId="2FB14D37">
      <w:pPr>
        <w:pStyle w:val="14"/>
        <w:jc w:val="center"/>
        <w:rPr>
          <w:rFonts w:hint="eastAsia" w:ascii="方正小标宋_GBK" w:hAnsi="方正小标宋_GBK" w:eastAsia="方正小标宋_GBK" w:cs="方正小标宋_GBK"/>
          <w:sz w:val="72"/>
          <w:szCs w:val="72"/>
        </w:rPr>
      </w:pPr>
    </w:p>
    <w:p w14:paraId="0E01DE72">
      <w:pPr>
        <w:pStyle w:val="14"/>
        <w:jc w:val="center"/>
        <w:rPr>
          <w:rFonts w:hint="eastAsia" w:ascii="方正小标宋_GBK" w:hAnsi="方正小标宋_GBK" w:eastAsia="方正小标宋_GBK" w:cs="方正小标宋_GBK"/>
          <w:sz w:val="72"/>
          <w:szCs w:val="72"/>
        </w:rPr>
      </w:pPr>
    </w:p>
    <w:p w14:paraId="2FF84366">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68C90A4C">
      <w:pPr>
        <w:pStyle w:val="14"/>
        <w:jc w:val="both"/>
        <w:rPr>
          <w:rFonts w:hint="eastAsia" w:ascii="方正小标宋_GBK" w:hAnsi="方正小标宋_GBK" w:eastAsia="方正小标宋_GBK" w:cs="方正小标宋_GBK"/>
          <w:sz w:val="70"/>
          <w:szCs w:val="70"/>
          <w:lang w:eastAsia="zh-CN"/>
        </w:rPr>
      </w:pPr>
    </w:p>
    <w:p w14:paraId="47169ED2">
      <w:pPr>
        <w:pStyle w:val="14"/>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58F7739F">
      <w:pPr>
        <w:ind w:firstLine="640" w:firstLineChars="200"/>
        <w:jc w:val="left"/>
        <w:rPr>
          <w:rFonts w:hint="eastAsia" w:ascii="宋体" w:hAnsi="宋体" w:eastAsia="宋体" w:cs="黑体"/>
          <w:b/>
          <w:color w:val="000000"/>
          <w:kern w:val="0"/>
          <w:sz w:val="32"/>
          <w:szCs w:val="32"/>
          <w:lang w:val="en-US" w:eastAsia="zh-CN"/>
        </w:rPr>
      </w:pPr>
    </w:p>
    <w:p w14:paraId="1B0B1C3A">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38A3B1E0">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5D341BF3"/>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438B80E-7789-4478-AC68-1F12375B5D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1D6B9F07-DDDD-47F8-8C4B-F24132155668}"/>
  </w:font>
  <w:font w:name="仿宋_GB2312">
    <w:panose1 w:val="02010609030101010101"/>
    <w:charset w:val="86"/>
    <w:family w:val="modern"/>
    <w:pitch w:val="default"/>
    <w:sig w:usb0="00000001" w:usb1="080E0000" w:usb2="00000000" w:usb3="00000000" w:csb0="00040000" w:csb1="00000000"/>
    <w:embedRegular r:id="rId3" w:fontKey="{9DA26B5E-D702-496D-AED3-ABED654EA2E3}"/>
  </w:font>
  <w:font w:name="楷体_GB2312">
    <w:altName w:val="楷体"/>
    <w:panose1 w:val="02010609030101010101"/>
    <w:charset w:val="86"/>
    <w:family w:val="modern"/>
    <w:pitch w:val="default"/>
    <w:sig w:usb0="00000000" w:usb1="00000000" w:usb2="00000000" w:usb3="00000000" w:csb0="00040000" w:csb1="00000000"/>
    <w:embedRegular r:id="rId4" w:fontKey="{FED241AD-31DF-4F88-B92C-FCF0FD9F08AD}"/>
  </w:font>
  <w:font w:name="楷体">
    <w:panose1 w:val="02010609060101010101"/>
    <w:charset w:val="86"/>
    <w:family w:val="auto"/>
    <w:pitch w:val="default"/>
    <w:sig w:usb0="800002BF" w:usb1="38CF7CFA" w:usb2="00000016" w:usb3="00000000" w:csb0="00040001" w:csb1="00000000"/>
  </w:font>
  <w:font w:name="WPSEMBED3">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9D0E51F"/>
    <w:multiLevelType w:val="singleLevel"/>
    <w:tmpl w:val="59D0E51F"/>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640BBE"/>
    <w:rsid w:val="02AD40CA"/>
    <w:rsid w:val="059958AD"/>
    <w:rsid w:val="06C857E7"/>
    <w:rsid w:val="07996868"/>
    <w:rsid w:val="08C24A73"/>
    <w:rsid w:val="0B7C0033"/>
    <w:rsid w:val="0BFC73C5"/>
    <w:rsid w:val="0DE24882"/>
    <w:rsid w:val="0F4B5F13"/>
    <w:rsid w:val="0F537DF8"/>
    <w:rsid w:val="0FEB3DA7"/>
    <w:rsid w:val="11944E2C"/>
    <w:rsid w:val="12583BA5"/>
    <w:rsid w:val="13BA5B9C"/>
    <w:rsid w:val="174631C9"/>
    <w:rsid w:val="1B8E408A"/>
    <w:rsid w:val="1C365FDC"/>
    <w:rsid w:val="1D97DEFF"/>
    <w:rsid w:val="1DFF72E5"/>
    <w:rsid w:val="1EFC6F07"/>
    <w:rsid w:val="1F0527A6"/>
    <w:rsid w:val="1F1A3993"/>
    <w:rsid w:val="1FCC3167"/>
    <w:rsid w:val="207D68CF"/>
    <w:rsid w:val="20AB4ADC"/>
    <w:rsid w:val="20E701EC"/>
    <w:rsid w:val="21DE15EF"/>
    <w:rsid w:val="22AC03C2"/>
    <w:rsid w:val="24BC5AB4"/>
    <w:rsid w:val="283B15FE"/>
    <w:rsid w:val="2B6861CE"/>
    <w:rsid w:val="2F947791"/>
    <w:rsid w:val="2FDF85B8"/>
    <w:rsid w:val="2FFFEE04"/>
    <w:rsid w:val="31C95635"/>
    <w:rsid w:val="346314E0"/>
    <w:rsid w:val="34DF85B0"/>
    <w:rsid w:val="36376D1A"/>
    <w:rsid w:val="39D74D64"/>
    <w:rsid w:val="3B8F36BC"/>
    <w:rsid w:val="3D1E069A"/>
    <w:rsid w:val="40DC68A2"/>
    <w:rsid w:val="42FB3958"/>
    <w:rsid w:val="43EB5BA5"/>
    <w:rsid w:val="45676F77"/>
    <w:rsid w:val="46007B33"/>
    <w:rsid w:val="462431C5"/>
    <w:rsid w:val="491FF225"/>
    <w:rsid w:val="4EC310A1"/>
    <w:rsid w:val="4F1128F5"/>
    <w:rsid w:val="4FFD214C"/>
    <w:rsid w:val="5352765A"/>
    <w:rsid w:val="53B86CFB"/>
    <w:rsid w:val="55E86FAE"/>
    <w:rsid w:val="5777D4F5"/>
    <w:rsid w:val="57EBA9D6"/>
    <w:rsid w:val="57F22B6F"/>
    <w:rsid w:val="59DD8326"/>
    <w:rsid w:val="5B667984"/>
    <w:rsid w:val="5DEF592A"/>
    <w:rsid w:val="5E6B15DC"/>
    <w:rsid w:val="5FC6BB1E"/>
    <w:rsid w:val="5FF720F1"/>
    <w:rsid w:val="602F4DFF"/>
    <w:rsid w:val="60BF3DBF"/>
    <w:rsid w:val="622964C1"/>
    <w:rsid w:val="65C17C90"/>
    <w:rsid w:val="67FF5C0B"/>
    <w:rsid w:val="6B9145AA"/>
    <w:rsid w:val="6BAA4A2F"/>
    <w:rsid w:val="6CA54E58"/>
    <w:rsid w:val="6D857B13"/>
    <w:rsid w:val="6DDEC5C0"/>
    <w:rsid w:val="6EFC0924"/>
    <w:rsid w:val="6F5C4ECE"/>
    <w:rsid w:val="6F9E8580"/>
    <w:rsid w:val="6FB74722"/>
    <w:rsid w:val="6FEF8B7E"/>
    <w:rsid w:val="70407C43"/>
    <w:rsid w:val="717FE77F"/>
    <w:rsid w:val="71A6591B"/>
    <w:rsid w:val="737D59BA"/>
    <w:rsid w:val="737F32B1"/>
    <w:rsid w:val="73BD3FCA"/>
    <w:rsid w:val="75BA64B3"/>
    <w:rsid w:val="76131AEC"/>
    <w:rsid w:val="773D7165"/>
    <w:rsid w:val="776BDA01"/>
    <w:rsid w:val="77C37683"/>
    <w:rsid w:val="77E15F71"/>
    <w:rsid w:val="79FF515B"/>
    <w:rsid w:val="7BB5101B"/>
    <w:rsid w:val="7DFBFF20"/>
    <w:rsid w:val="7E9E1962"/>
    <w:rsid w:val="7E9F11B4"/>
    <w:rsid w:val="7EC12119"/>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next w:val="6"/>
    <w:qFormat/>
    <w:uiPriority w:val="0"/>
    <w:pPr>
      <w:widowControl w:val="0"/>
      <w:jc w:val="both"/>
    </w:pPr>
    <w:rPr>
      <w:rFonts w:ascii="Calibri" w:hAnsi="Calibri" w:eastAsia="宋体" w:cs="Times New Roman"/>
      <w:kern w:val="2"/>
      <w:sz w:val="28"/>
      <w:szCs w:val="24"/>
      <w:lang w:val="en-US" w:eastAsia="zh-CN" w:bidi="ar-SA"/>
    </w:rPr>
  </w:style>
  <w:style w:type="paragraph" w:styleId="6">
    <w:name w:val="toc 5"/>
    <w:basedOn w:val="1"/>
    <w:next w:val="1"/>
    <w:qFormat/>
    <w:uiPriority w:val="0"/>
    <w:pPr>
      <w:ind w:left="1680" w:leftChars="800"/>
    </w:pPr>
  </w:style>
  <w:style w:type="paragraph" w:styleId="7">
    <w:name w:val="Balloon Text"/>
    <w:basedOn w:val="1"/>
    <w:link w:val="16"/>
    <w:semiHidden/>
    <w:unhideWhenUsed/>
    <w:qFormat/>
    <w:uiPriority w:val="99"/>
    <w:rPr>
      <w:sz w:val="18"/>
      <w:szCs w:val="18"/>
    </w:rPr>
  </w:style>
  <w:style w:type="paragraph" w:styleId="8">
    <w:name w:val="footer"/>
    <w:basedOn w:val="1"/>
    <w:link w:val="13"/>
    <w:unhideWhenUsed/>
    <w:qFormat/>
    <w:uiPriority w:val="99"/>
    <w:pPr>
      <w:tabs>
        <w:tab w:val="center" w:pos="4153"/>
        <w:tab w:val="right" w:pos="8306"/>
      </w:tabs>
      <w:snapToGrid w:val="0"/>
      <w:jc w:val="left"/>
    </w:pPr>
    <w:rPr>
      <w:sz w:val="18"/>
      <w:szCs w:val="18"/>
    </w:rPr>
  </w:style>
  <w:style w:type="paragraph" w:styleId="9">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2">
    <w:name w:val="页眉 Char"/>
    <w:basedOn w:val="11"/>
    <w:link w:val="9"/>
    <w:qFormat/>
    <w:uiPriority w:val="99"/>
    <w:rPr>
      <w:sz w:val="18"/>
      <w:szCs w:val="18"/>
    </w:rPr>
  </w:style>
  <w:style w:type="character" w:customStyle="1" w:styleId="13">
    <w:name w:val="页脚 Char"/>
    <w:basedOn w:val="11"/>
    <w:link w:val="8"/>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7"/>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24</Pages>
  <Words>10273</Words>
  <Characters>10905</Characters>
  <Lines>63</Lines>
  <Paragraphs>18</Paragraphs>
  <TotalTime>2</TotalTime>
  <ScaleCrop>false</ScaleCrop>
  <LinksUpToDate>false</LinksUpToDate>
  <CharactersWithSpaces>10936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YY</cp:lastModifiedBy>
  <cp:lastPrinted>2024-08-11T18:20:00Z</cp:lastPrinted>
  <dcterms:modified xsi:type="dcterms:W3CDTF">2026-10-08T07:17:00Z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eyJoZGlkIjoiZTIwYjE2NzhkNDM2Y2Y5NzI2YzFkODFmZGY5MzM4MWUiLCJ1c2VySWQiOiI0OTYzNTAzMzUifQ==</vt:lpwstr>
  </property>
</Properties>
</file>