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58CB7">
      <w:pPr>
        <w:pStyle w:val="12"/>
        <w:jc w:val="center"/>
        <w:rPr>
          <w:sz w:val="56"/>
          <w:szCs w:val="56"/>
        </w:rPr>
      </w:pPr>
    </w:p>
    <w:p w14:paraId="524ACE01">
      <w:pPr>
        <w:pStyle w:val="12"/>
        <w:jc w:val="center"/>
        <w:rPr>
          <w:sz w:val="56"/>
          <w:szCs w:val="56"/>
        </w:rPr>
      </w:pPr>
    </w:p>
    <w:p w14:paraId="7401EB3E">
      <w:pPr>
        <w:pStyle w:val="12"/>
        <w:jc w:val="center"/>
        <w:rPr>
          <w:sz w:val="84"/>
          <w:szCs w:val="84"/>
        </w:rPr>
      </w:pPr>
    </w:p>
    <w:p w14:paraId="151C6408">
      <w:pPr>
        <w:pStyle w:val="12"/>
        <w:jc w:val="center"/>
        <w:rPr>
          <w:sz w:val="84"/>
          <w:szCs w:val="84"/>
        </w:rPr>
      </w:pPr>
    </w:p>
    <w:p w14:paraId="0F8B2B51">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11D10AB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岳阳市城市管理事务中心</w:t>
      </w:r>
      <w:r>
        <w:rPr>
          <w:rFonts w:hint="eastAsia" w:ascii="方正小标宋_GBK" w:hAnsi="方正小标宋_GBK" w:eastAsia="方正小标宋_GBK" w:cs="方正小标宋_GBK"/>
          <w:sz w:val="84"/>
          <w:szCs w:val="84"/>
        </w:rPr>
        <w:t>部门决算</w:t>
      </w:r>
    </w:p>
    <w:p w14:paraId="5E20C516">
      <w:pPr>
        <w:pStyle w:val="12"/>
        <w:jc w:val="center"/>
        <w:rPr>
          <w:rFonts w:hint="eastAsia" w:ascii="方正小标宋_GBK" w:hAnsi="方正小标宋_GBK" w:eastAsia="方正小标宋_GBK" w:cs="方正小标宋_GBK"/>
          <w:sz w:val="56"/>
          <w:szCs w:val="56"/>
        </w:rPr>
      </w:pPr>
    </w:p>
    <w:p w14:paraId="179E7852">
      <w:pPr>
        <w:pStyle w:val="12"/>
        <w:jc w:val="center"/>
        <w:rPr>
          <w:sz w:val="56"/>
          <w:szCs w:val="56"/>
        </w:rPr>
      </w:pPr>
    </w:p>
    <w:p w14:paraId="597D403B">
      <w:pPr>
        <w:pStyle w:val="12"/>
        <w:jc w:val="center"/>
        <w:rPr>
          <w:sz w:val="56"/>
          <w:szCs w:val="56"/>
        </w:rPr>
      </w:pPr>
    </w:p>
    <w:p w14:paraId="7FAFCDFA">
      <w:pPr>
        <w:pStyle w:val="12"/>
        <w:jc w:val="center"/>
        <w:rPr>
          <w:sz w:val="56"/>
          <w:szCs w:val="56"/>
        </w:rPr>
      </w:pPr>
    </w:p>
    <w:p w14:paraId="52EC0387">
      <w:pPr>
        <w:pStyle w:val="12"/>
        <w:jc w:val="center"/>
        <w:rPr>
          <w:sz w:val="32"/>
          <w:szCs w:val="32"/>
        </w:rPr>
      </w:pPr>
    </w:p>
    <w:p w14:paraId="52AD5D73">
      <w:pPr>
        <w:pStyle w:val="12"/>
        <w:jc w:val="center"/>
        <w:rPr>
          <w:sz w:val="32"/>
          <w:szCs w:val="32"/>
        </w:rPr>
      </w:pPr>
    </w:p>
    <w:p w14:paraId="6D0739B2">
      <w:pPr>
        <w:pStyle w:val="12"/>
        <w:jc w:val="center"/>
        <w:rPr>
          <w:sz w:val="32"/>
          <w:szCs w:val="32"/>
        </w:rPr>
      </w:pPr>
    </w:p>
    <w:p w14:paraId="536B29EC">
      <w:pPr>
        <w:pStyle w:val="12"/>
        <w:spacing w:line="500" w:lineRule="exact"/>
        <w:jc w:val="both"/>
        <w:rPr>
          <w:b/>
          <w:sz w:val="36"/>
          <w:szCs w:val="28"/>
        </w:rPr>
      </w:pPr>
    </w:p>
    <w:p w14:paraId="7664A1DE">
      <w:pPr>
        <w:pStyle w:val="12"/>
        <w:spacing w:line="500" w:lineRule="exact"/>
        <w:jc w:val="center"/>
        <w:rPr>
          <w:b/>
          <w:sz w:val="36"/>
          <w:szCs w:val="28"/>
        </w:rPr>
      </w:pPr>
      <w:r>
        <w:rPr>
          <w:rFonts w:hint="eastAsia"/>
          <w:b/>
          <w:sz w:val="36"/>
          <w:szCs w:val="28"/>
        </w:rPr>
        <w:t>目录</w:t>
      </w:r>
    </w:p>
    <w:p w14:paraId="54608505">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岳阳市城市管理事务中心</w:t>
      </w:r>
      <w:r>
        <w:rPr>
          <w:rFonts w:hint="eastAsia" w:ascii="黑体" w:hAnsi="黑体" w:eastAsia="黑体" w:cs="黑体"/>
          <w:b w:val="0"/>
          <w:bCs/>
          <w:sz w:val="28"/>
          <w:szCs w:val="28"/>
        </w:rPr>
        <w:t>概况</w:t>
      </w:r>
    </w:p>
    <w:p w14:paraId="33F761B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6DA6FFD">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2EBF6DCF">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2F46A7A">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9E0836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82E60F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60F86D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719530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4C158D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D41A73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93F8F0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DEB1321">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0FDFE82">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3172E0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F297F5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1406F4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14CB0C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51BAF7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52AD91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ADE692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3DCDAEF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72139C6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54874BB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054D4C0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1728349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159FA4B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78BFFF7F">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3893BC43">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E29E9A3">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FC3A0B7">
      <w:pPr>
        <w:pStyle w:val="12"/>
        <w:jc w:val="center"/>
        <w:rPr>
          <w:rFonts w:hint="eastAsia" w:ascii="方正小标宋_GBK" w:hAnsi="方正小标宋_GBK" w:eastAsia="方正小标宋_GBK" w:cs="方正小标宋_GBK"/>
          <w:sz w:val="84"/>
          <w:szCs w:val="84"/>
        </w:rPr>
      </w:pPr>
    </w:p>
    <w:p w14:paraId="6D8CA700">
      <w:pPr>
        <w:rPr>
          <w:rFonts w:hint="eastAsia" w:ascii="方正小标宋_GBK" w:hAnsi="方正小标宋_GBK" w:eastAsia="方正小标宋_GBK" w:cs="方正小标宋_GBK"/>
          <w:sz w:val="84"/>
          <w:szCs w:val="84"/>
        </w:rPr>
      </w:pPr>
    </w:p>
    <w:p w14:paraId="5C6A94F8">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43984E70">
      <w:pPr>
        <w:pStyle w:val="12"/>
        <w:jc w:val="center"/>
        <w:rPr>
          <w:rFonts w:hint="eastAsia" w:ascii="方正小标宋_GBK" w:hAnsi="方正小标宋_GBK" w:eastAsia="方正小标宋_GBK" w:cs="方正小标宋_GBK"/>
          <w:sz w:val="72"/>
          <w:szCs w:val="72"/>
        </w:rPr>
      </w:pPr>
    </w:p>
    <w:p w14:paraId="5EF69A9D">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岳阳市城市管理事务中心</w:t>
      </w:r>
      <w:r>
        <w:rPr>
          <w:rFonts w:hint="eastAsia" w:ascii="方正小标宋_GBK" w:hAnsi="方正小标宋_GBK" w:eastAsia="方正小标宋_GBK" w:cs="方正小标宋_GBK"/>
          <w:sz w:val="72"/>
          <w:szCs w:val="72"/>
        </w:rPr>
        <w:t>概况</w:t>
      </w:r>
    </w:p>
    <w:p w14:paraId="1469560B">
      <w:pPr>
        <w:pStyle w:val="3"/>
        <w:ind w:left="0" w:leftChars="0" w:firstLine="0" w:firstLineChars="0"/>
        <w:rPr>
          <w:rFonts w:hint="eastAsia" w:ascii="方正小标宋_GBK" w:hAnsi="方正小标宋_GBK" w:eastAsia="方正小标宋_GBK" w:cs="方正小标宋_GBK"/>
          <w:sz w:val="84"/>
          <w:szCs w:val="84"/>
        </w:rPr>
      </w:pPr>
    </w:p>
    <w:p w14:paraId="451A9F39">
      <w:pPr>
        <w:rPr>
          <w:rFonts w:hint="eastAsia" w:ascii="方正小标宋_GBK" w:hAnsi="方正小标宋_GBK" w:eastAsia="方正小标宋_GBK" w:cs="方正小标宋_GBK"/>
          <w:sz w:val="84"/>
          <w:szCs w:val="84"/>
        </w:rPr>
      </w:pPr>
    </w:p>
    <w:p w14:paraId="1CE07547">
      <w:pPr>
        <w:pStyle w:val="2"/>
        <w:rPr>
          <w:rFonts w:hint="eastAsia" w:ascii="方正小标宋_GBK" w:hAnsi="方正小标宋_GBK" w:eastAsia="方正小标宋_GBK" w:cs="方正小标宋_GBK"/>
          <w:sz w:val="84"/>
          <w:szCs w:val="84"/>
        </w:rPr>
      </w:pPr>
    </w:p>
    <w:p w14:paraId="4D339C21">
      <w:pPr>
        <w:pStyle w:val="3"/>
        <w:rPr>
          <w:rFonts w:hint="eastAsia" w:ascii="方正小标宋_GBK" w:hAnsi="方正小标宋_GBK" w:eastAsia="方正小标宋_GBK" w:cs="方正小标宋_GBK"/>
          <w:sz w:val="84"/>
          <w:szCs w:val="84"/>
        </w:rPr>
      </w:pPr>
    </w:p>
    <w:p w14:paraId="565EA7FB">
      <w:pPr>
        <w:rPr>
          <w:rFonts w:hint="eastAsia" w:ascii="方正小标宋_GBK" w:hAnsi="方正小标宋_GBK" w:eastAsia="方正小标宋_GBK" w:cs="方正小标宋_GBK"/>
          <w:sz w:val="84"/>
          <w:szCs w:val="84"/>
        </w:rPr>
      </w:pPr>
    </w:p>
    <w:p w14:paraId="06238C32">
      <w:pPr>
        <w:pStyle w:val="2"/>
        <w:rPr>
          <w:rFonts w:hint="eastAsia"/>
        </w:rPr>
      </w:pPr>
    </w:p>
    <w:p w14:paraId="38B06412">
      <w:pPr>
        <w:pStyle w:val="13"/>
        <w:numPr>
          <w:numId w:val="0"/>
        </w:numPr>
        <w:ind w:leftChars="0"/>
        <w:jc w:val="left"/>
        <w:rPr>
          <w:rFonts w:hint="eastAsia" w:ascii="仿宋_GB2312" w:hAnsi="仿宋_GB2312" w:eastAsia="仿宋_GB2312" w:cs="仿宋_GB2312"/>
          <w:color w:val="000000"/>
          <w:kern w:val="0"/>
          <w:sz w:val="32"/>
          <w:szCs w:val="24"/>
          <w:highlight w:val="white"/>
          <w:lang w:val="en-US"/>
        </w:rPr>
      </w:pPr>
    </w:p>
    <w:p w14:paraId="0C932430">
      <w:pPr>
        <w:pStyle w:val="13"/>
        <w:numPr>
          <w:ilvl w:val="0"/>
          <w:numId w:val="1"/>
        </w:numPr>
        <w:ind w:firstLineChars="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b w:val="0"/>
          <w:bCs w:val="0"/>
          <w:sz w:val="32"/>
          <w:szCs w:val="32"/>
        </w:rPr>
        <w:t>部门职责</w:t>
      </w:r>
    </w:p>
    <w:p w14:paraId="3161C2F8">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32"/>
          <w:lang w:val="en-US" w:eastAsia="zh-CN" w:bidi="ar-SA"/>
        </w:rPr>
        <w:t>参与拟订市城</w:t>
      </w:r>
      <w:r>
        <w:rPr>
          <w:rFonts w:hint="eastAsia" w:ascii="仿宋_GB2312" w:hAnsi="仿宋_GB2312" w:eastAsia="仿宋_GB2312" w:cs="仿宋_GB2312"/>
          <w:color w:val="000000"/>
          <w:kern w:val="0"/>
          <w:sz w:val="32"/>
          <w:szCs w:val="24"/>
          <w:highlight w:val="white"/>
          <w:lang w:val="en-US"/>
        </w:rPr>
        <w:t>区环境卫生、生活垃圾分类、城镇燃气管理等行业发展中长期规划、专项规划。</w:t>
      </w:r>
    </w:p>
    <w:p w14:paraId="1453E320">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参与制定市城区环境卫生、生活垃圾分类、城镇燃气管理行业规范、技术标准和考评实施细则;承担有关城市管理考评考核的行政辅助工作。</w:t>
      </w:r>
    </w:p>
    <w:p w14:paraId="6DCA59C3">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负责市城区权限内建筑垃圾资源化利用、城市道路的挖掘和临时占用等许可事项的行政辅助工作;负责市城区权限内城市道路挖掘和文明施工的日常管理事务性工作。</w:t>
      </w:r>
    </w:p>
    <w:p w14:paraId="464CF2FE">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负责深化国家卫生城市、全国文明城市等建设活动和环境卫生综合整治的行政辅助工作;负责市城区扬尘污染防治的日常管理事务性工作。</w:t>
      </w:r>
    </w:p>
    <w:p w14:paraId="2814AAD5">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参与市主城区由政府投资的城镇燃气工程质量监管、验收工作;负责全市城镇燃气企业、城镇燃气用户的日常安全生产检查和隐患整治以及全市城镇燃气企业经营行为、服务质量的监督检查、信访投诉处理的事务性工作。</w:t>
      </w:r>
    </w:p>
    <w:p w14:paraId="4DBFB065">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负责指导环境卫生、生活垃圾分类、城镇燃气管理科技项目公关、科技成果转化和应用推广以及新技术、新工艺的引进工作。</w:t>
      </w:r>
    </w:p>
    <w:p w14:paraId="02FECE46">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负责环境卫生、生活垃圾分类、城镇燃气管理等法律法规和科普知识的社会宣传普及工作;负责环境卫生、生活垃圾分类、城镇燃气行业从业人员的岗位培训教育工作;负责为全市环境卫生、城镇燃气行业协会活动开展提供指导服务。</w:t>
      </w:r>
    </w:p>
    <w:p w14:paraId="5AFA3E02">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负责市城区生活垃圾中转和建筑垃圾处置等事务性工作。</w:t>
      </w:r>
    </w:p>
    <w:p w14:paraId="261A48C2">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参与建立城市环境卫生、建筑垃圾、生活垃圾分类、城镇燃气管理等行业数字化信息系统;负责指导环境卫生作业社会化、市场化工作。</w:t>
      </w:r>
    </w:p>
    <w:p w14:paraId="56A1C08A">
      <w:pPr>
        <w:pStyle w:val="13"/>
        <w:numPr>
          <w:ilvl w:val="0"/>
          <w:numId w:val="2"/>
        </w:numPr>
        <w:ind w:leftChars="0" w:firstLine="640" w:firstLineChars="200"/>
        <w:jc w:val="left"/>
        <w:rPr>
          <w:rFonts w:hint="eastAsia" w:ascii="仿宋_GB2312" w:hAnsi="仿宋_GB2312" w:eastAsia="仿宋_GB2312" w:cs="仿宋_GB2312"/>
          <w:color w:val="000000"/>
          <w:kern w:val="0"/>
          <w:sz w:val="32"/>
          <w:szCs w:val="24"/>
          <w:highlight w:val="white"/>
          <w:lang w:val="en-US"/>
        </w:rPr>
      </w:pPr>
      <w:r>
        <w:rPr>
          <w:rFonts w:hint="eastAsia" w:ascii="仿宋_GB2312" w:hAnsi="仿宋_GB2312" w:eastAsia="仿宋_GB2312" w:cs="仿宋_GB2312"/>
          <w:color w:val="000000"/>
          <w:kern w:val="0"/>
          <w:sz w:val="32"/>
          <w:szCs w:val="24"/>
          <w:highlight w:val="white"/>
          <w:lang w:val="en-US"/>
        </w:rPr>
        <w:t>完成市城市管理和综合执法局交办的其他工作。</w:t>
      </w:r>
    </w:p>
    <w:p w14:paraId="2DC82B10">
      <w:pPr>
        <w:widowControl/>
        <w:spacing w:line="600" w:lineRule="exact"/>
        <w:rPr>
          <w:rFonts w:hint="eastAsia" w:ascii="仿宋_GB2312" w:hAnsi="仿宋_GB2312" w:eastAsia="仿宋_GB2312" w:cs="仿宋_GB2312"/>
          <w:b w:val="0"/>
          <w:bCs/>
          <w:kern w:val="0"/>
          <w:sz w:val="32"/>
          <w:szCs w:val="32"/>
        </w:rPr>
      </w:pPr>
      <w:r>
        <w:rPr>
          <w:rFonts w:hint="eastAsia" w:ascii="仿宋_GB2312" w:hAnsi="仿宋_GB2312" w:eastAsia="仿宋_GB2312" w:cs="仿宋_GB2312"/>
          <w:b w:val="0"/>
          <w:bCs/>
          <w:kern w:val="0"/>
          <w:sz w:val="32"/>
          <w:szCs w:val="32"/>
        </w:rPr>
        <w:t>二、机构设置及决算单位构成</w:t>
      </w:r>
    </w:p>
    <w:p w14:paraId="5B2EEC5A">
      <w:pPr>
        <w:widowControl/>
        <w:spacing w:line="600" w:lineRule="exac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（一）内设机构设置。</w:t>
      </w:r>
    </w:p>
    <w:p w14:paraId="46ED3E0C">
      <w:pPr>
        <w:keepNext/>
        <w:keepLines/>
        <w:ind w:firstLine="640"/>
        <w:rPr>
          <w:rFonts w:hint="eastAsia" w:ascii="仿宋_GB2312" w:hAnsi="仿宋_GB2312" w:eastAsia="仿宋_GB2312" w:cs="仿宋_GB2312"/>
          <w:color w:val="000000"/>
          <w:sz w:val="32"/>
          <w:szCs w:val="24"/>
          <w:highlight w:val="white"/>
          <w:lang w:val="zh-CN"/>
        </w:rPr>
      </w:pPr>
      <w:r>
        <w:rPr>
          <w:rFonts w:hint="eastAsia" w:ascii="仿宋_GB2312" w:hAnsi="仿宋_GB2312" w:eastAsia="仿宋_GB2312" w:cs="仿宋_GB2312"/>
          <w:color w:val="000000"/>
          <w:sz w:val="32"/>
          <w:szCs w:val="24"/>
          <w:highlight w:val="white"/>
          <w:lang w:val="zh-CN"/>
        </w:rPr>
        <w:t>岳阳市城市管理事务中心单位内设机构包括：综合部、</w:t>
      </w:r>
      <w:r>
        <w:rPr>
          <w:rFonts w:hint="eastAsia" w:ascii="仿宋_GB2312" w:hAnsi="仿宋_GB2312" w:eastAsia="仿宋_GB2312" w:cs="仿宋_GB2312"/>
          <w:color w:val="000000"/>
          <w:sz w:val="32"/>
          <w:szCs w:val="24"/>
          <w:highlight w:val="white"/>
          <w:lang w:val="en-US" w:eastAsia="zh-CN"/>
        </w:rPr>
        <w:t>-</w:t>
      </w:r>
      <w:r>
        <w:rPr>
          <w:rFonts w:hint="eastAsia" w:ascii="仿宋_GB2312" w:hAnsi="仿宋_GB2312" w:eastAsia="仿宋_GB2312" w:cs="仿宋_GB2312"/>
          <w:color w:val="000000"/>
          <w:sz w:val="32"/>
          <w:szCs w:val="24"/>
          <w:highlight w:val="white"/>
          <w:lang w:val="zh-CN"/>
        </w:rPr>
        <w:t>人事部、计财审计部、破占道管理服务部、建筑垃圾管理服务部、环卫事务部；设3个分支机构：市花果畈垃圾中转服务所、市城镇燃气管理服务所、市生活垃圾分类管理服务所，核定事业编制</w:t>
      </w:r>
      <w:r>
        <w:rPr>
          <w:rFonts w:hint="eastAsia" w:ascii="仿宋_GB2312" w:hAnsi="仿宋_GB2312" w:eastAsia="仿宋_GB2312" w:cs="仿宋_GB2312"/>
          <w:color w:val="000000"/>
          <w:sz w:val="32"/>
          <w:szCs w:val="24"/>
          <w:highlight w:val="white"/>
          <w:lang w:val="en-US" w:eastAsia="zh-CN"/>
        </w:rPr>
        <w:t>99</w:t>
      </w:r>
      <w:r>
        <w:rPr>
          <w:rFonts w:hint="eastAsia" w:ascii="仿宋_GB2312" w:hAnsi="仿宋_GB2312" w:eastAsia="仿宋_GB2312" w:cs="仿宋_GB2312"/>
          <w:color w:val="000000"/>
          <w:sz w:val="32"/>
          <w:szCs w:val="24"/>
          <w:highlight w:val="white"/>
          <w:lang w:val="zh-CN"/>
        </w:rPr>
        <w:t>人。</w:t>
      </w:r>
    </w:p>
    <w:p w14:paraId="3D9EF3E2">
      <w:pPr>
        <w:widowControl/>
        <w:spacing w:line="600" w:lineRule="exac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w:t>
      </w:r>
    </w:p>
    <w:p w14:paraId="372A71AA">
      <w:pPr>
        <w:keepNext/>
        <w:keepLines/>
        <w:ind w:firstLine="640"/>
        <w:rPr>
          <w:rFonts w:hint="eastAsia" w:ascii="仿宋_GB2312" w:hAnsi="仿宋_GB2312" w:eastAsia="仿宋_GB2312" w:cs="仿宋_GB2312"/>
          <w:color w:val="000000"/>
          <w:sz w:val="32"/>
          <w:szCs w:val="24"/>
          <w:highlight w:val="white"/>
          <w:lang w:val="en-US"/>
        </w:rPr>
      </w:pPr>
      <w:r>
        <w:rPr>
          <w:rFonts w:hint="eastAsia" w:ascii="仿宋_GB2312" w:hAnsi="仿宋_GB2312" w:eastAsia="仿宋_GB2312" w:cs="仿宋_GB2312"/>
          <w:color w:val="000000"/>
          <w:sz w:val="32"/>
          <w:szCs w:val="24"/>
          <w:highlight w:val="white"/>
          <w:lang w:val="zh-CN"/>
        </w:rPr>
        <w:t>岳阳市城管事务中心单位202</w:t>
      </w:r>
      <w:r>
        <w:rPr>
          <w:rFonts w:hint="eastAsia" w:ascii="仿宋_GB2312" w:hAnsi="仿宋_GB2312" w:eastAsia="仿宋_GB2312" w:cs="仿宋_GB2312"/>
          <w:color w:val="000000"/>
          <w:sz w:val="32"/>
          <w:szCs w:val="24"/>
          <w:highlight w:val="white"/>
          <w:lang w:val="en-US" w:eastAsia="zh-CN"/>
        </w:rPr>
        <w:t>5</w:t>
      </w:r>
      <w:r>
        <w:rPr>
          <w:rFonts w:hint="eastAsia" w:ascii="仿宋_GB2312" w:hAnsi="仿宋_GB2312" w:eastAsia="仿宋_GB2312" w:cs="仿宋_GB2312"/>
          <w:color w:val="000000"/>
          <w:sz w:val="32"/>
          <w:szCs w:val="24"/>
          <w:highlight w:val="white"/>
          <w:lang w:val="zh-CN"/>
        </w:rPr>
        <w:t>年部门决算汇总公开单位构成包括：</w:t>
      </w:r>
      <w:r>
        <w:rPr>
          <w:rFonts w:hint="eastAsia" w:ascii="仿宋_GB2312" w:hAnsi="仿宋_GB2312" w:eastAsia="仿宋_GB2312" w:cs="仿宋_GB2312"/>
          <w:color w:val="000000"/>
          <w:sz w:val="32"/>
          <w:szCs w:val="24"/>
          <w:highlight w:val="white"/>
          <w:lang w:val="en-US"/>
        </w:rPr>
        <w:t>本单位无独立核算的下属单位，202</w:t>
      </w:r>
      <w:r>
        <w:rPr>
          <w:rFonts w:hint="eastAsia" w:ascii="仿宋_GB2312" w:hAnsi="仿宋_GB2312" w:eastAsia="仿宋_GB2312" w:cs="仿宋_GB2312"/>
          <w:color w:val="000000"/>
          <w:sz w:val="32"/>
          <w:szCs w:val="24"/>
          <w:highlight w:val="white"/>
          <w:lang w:val="en-US" w:eastAsia="zh-CN"/>
        </w:rPr>
        <w:t>5</w:t>
      </w:r>
      <w:r>
        <w:rPr>
          <w:rFonts w:hint="eastAsia" w:ascii="仿宋_GB2312" w:hAnsi="仿宋_GB2312" w:eastAsia="仿宋_GB2312" w:cs="仿宋_GB2312"/>
          <w:color w:val="000000"/>
          <w:sz w:val="32"/>
          <w:szCs w:val="24"/>
          <w:highlight w:val="white"/>
          <w:lang w:val="en-US"/>
        </w:rPr>
        <w:t>年度部门决算汇总公开单位</w:t>
      </w:r>
      <w:r>
        <w:rPr>
          <w:rFonts w:hint="eastAsia" w:ascii="仿宋_GB2312" w:hAnsi="仿宋_GB2312" w:eastAsia="仿宋_GB2312" w:cs="仿宋_GB2312"/>
          <w:color w:val="000000"/>
          <w:sz w:val="32"/>
          <w:szCs w:val="24"/>
          <w:highlight w:val="white"/>
          <w:lang w:val="en-US" w:eastAsia="zh-CN"/>
        </w:rPr>
        <w:t>仅</w:t>
      </w:r>
      <w:r>
        <w:rPr>
          <w:rFonts w:hint="eastAsia" w:ascii="仿宋_GB2312" w:hAnsi="仿宋_GB2312" w:eastAsia="仿宋_GB2312" w:cs="仿宋_GB2312"/>
          <w:color w:val="000000"/>
          <w:sz w:val="32"/>
          <w:szCs w:val="24"/>
          <w:highlight w:val="white"/>
          <w:lang w:val="en-US"/>
        </w:rPr>
        <w:t>包括</w:t>
      </w:r>
      <w:r>
        <w:rPr>
          <w:rFonts w:hint="eastAsia" w:ascii="仿宋_GB2312" w:hAnsi="仿宋_GB2312" w:eastAsia="仿宋_GB2312" w:cs="仿宋_GB2312"/>
          <w:color w:val="000000"/>
          <w:sz w:val="32"/>
          <w:szCs w:val="24"/>
          <w:highlight w:val="white"/>
          <w:lang w:val="zh-CN"/>
        </w:rPr>
        <w:t>岳阳市城管事务中心</w:t>
      </w:r>
      <w:r>
        <w:rPr>
          <w:rFonts w:hint="eastAsia" w:ascii="仿宋_GB2312" w:hAnsi="仿宋_GB2312" w:eastAsia="仿宋_GB2312" w:cs="仿宋_GB2312"/>
          <w:color w:val="000000"/>
          <w:sz w:val="32"/>
          <w:szCs w:val="24"/>
          <w:highlight w:val="white"/>
          <w:lang w:val="en-US"/>
        </w:rPr>
        <w:t>本级。</w:t>
      </w:r>
    </w:p>
    <w:p w14:paraId="2FA3274C"/>
    <w:p w14:paraId="7DA69EF6">
      <w:pPr>
        <w:pStyle w:val="2"/>
      </w:pPr>
    </w:p>
    <w:p w14:paraId="7EA34B49">
      <w:pPr>
        <w:pStyle w:val="3"/>
      </w:pPr>
    </w:p>
    <w:p w14:paraId="4A3A2CBD"/>
    <w:p w14:paraId="26050B70">
      <w:pPr>
        <w:pStyle w:val="2"/>
      </w:pPr>
    </w:p>
    <w:p w14:paraId="260BCF4C">
      <w:pPr>
        <w:pStyle w:val="3"/>
      </w:pPr>
    </w:p>
    <w:p w14:paraId="2730E7BA"/>
    <w:p w14:paraId="16F1C58D">
      <w:pPr>
        <w:pStyle w:val="2"/>
      </w:pPr>
    </w:p>
    <w:p w14:paraId="62E8D6E5">
      <w:pPr>
        <w:pStyle w:val="3"/>
      </w:pPr>
    </w:p>
    <w:p w14:paraId="5A2FE7BD"/>
    <w:p w14:paraId="4A032D56">
      <w:pPr>
        <w:pStyle w:val="12"/>
        <w:jc w:val="both"/>
        <w:rPr>
          <w:rFonts w:hint="eastAsia" w:ascii="方正小标宋_GBK" w:hAnsi="方正小标宋_GBK" w:eastAsia="方正小标宋_GBK" w:cs="方正小标宋_GBK"/>
          <w:sz w:val="84"/>
          <w:szCs w:val="84"/>
        </w:rPr>
      </w:pPr>
    </w:p>
    <w:p w14:paraId="57F39EDE">
      <w:pPr>
        <w:pStyle w:val="12"/>
        <w:jc w:val="both"/>
        <w:rPr>
          <w:rFonts w:hint="eastAsia" w:ascii="方正小标宋_GBK" w:hAnsi="方正小标宋_GBK" w:eastAsia="方正小标宋_GBK" w:cs="方正小标宋_GBK"/>
          <w:sz w:val="84"/>
          <w:szCs w:val="84"/>
        </w:rPr>
      </w:pPr>
    </w:p>
    <w:p w14:paraId="6233848D">
      <w:pPr>
        <w:pStyle w:val="12"/>
        <w:jc w:val="both"/>
        <w:rPr>
          <w:rFonts w:hint="eastAsia" w:ascii="方正小标宋_GBK" w:hAnsi="方正小标宋_GBK" w:eastAsia="方正小标宋_GBK" w:cs="方正小标宋_GBK"/>
          <w:sz w:val="84"/>
          <w:szCs w:val="84"/>
        </w:rPr>
      </w:pPr>
    </w:p>
    <w:p w14:paraId="4D2454CC">
      <w:pPr>
        <w:pStyle w:val="12"/>
        <w:jc w:val="both"/>
        <w:rPr>
          <w:rFonts w:hint="eastAsia" w:ascii="方正小标宋_GBK" w:hAnsi="方正小标宋_GBK" w:eastAsia="方正小标宋_GBK" w:cs="方正小标宋_GBK"/>
          <w:sz w:val="84"/>
          <w:szCs w:val="84"/>
        </w:rPr>
      </w:pPr>
    </w:p>
    <w:p w14:paraId="4C2BF548">
      <w:pPr>
        <w:pStyle w:val="12"/>
        <w:jc w:val="both"/>
        <w:rPr>
          <w:rFonts w:hint="eastAsia" w:ascii="方正小标宋_GBK" w:hAnsi="方正小标宋_GBK" w:eastAsia="方正小标宋_GBK" w:cs="方正小标宋_GBK"/>
          <w:sz w:val="84"/>
          <w:szCs w:val="84"/>
        </w:rPr>
      </w:pPr>
    </w:p>
    <w:p w14:paraId="70B2679E">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7350C053">
      <w:pPr>
        <w:pStyle w:val="12"/>
        <w:jc w:val="center"/>
        <w:rPr>
          <w:rFonts w:hint="eastAsia" w:ascii="方正小标宋_GBK" w:hAnsi="方正小标宋_GBK" w:eastAsia="方正小标宋_GBK" w:cs="方正小标宋_GBK"/>
          <w:sz w:val="84"/>
          <w:szCs w:val="84"/>
        </w:rPr>
      </w:pPr>
    </w:p>
    <w:p w14:paraId="30FE4607">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1F635EF">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670CC29B">
      <w:pPr>
        <w:pStyle w:val="12"/>
        <w:jc w:val="center"/>
        <w:rPr>
          <w:rFonts w:hint="eastAsia" w:ascii="仿宋_GB2312" w:hAnsi="仿宋_GB2312" w:eastAsia="仿宋_GB2312" w:cs="仿宋_GB2312"/>
          <w:b w:val="0"/>
          <w:bCs w:val="0"/>
          <w:sz w:val="72"/>
          <w:szCs w:val="72"/>
          <w:lang w:eastAsia="zh-CN"/>
        </w:rPr>
      </w:pPr>
    </w:p>
    <w:p w14:paraId="6F4D8DB8">
      <w:pPr>
        <w:pStyle w:val="12"/>
        <w:jc w:val="center"/>
        <w:rPr>
          <w:rFonts w:hint="eastAsia" w:ascii="仿宋_GB2312" w:hAnsi="仿宋_GB2312" w:eastAsia="仿宋_GB2312" w:cs="仿宋_GB2312"/>
          <w:b w:val="0"/>
          <w:bCs w:val="0"/>
          <w:sz w:val="72"/>
          <w:szCs w:val="72"/>
          <w:lang w:eastAsia="zh-CN"/>
        </w:rPr>
      </w:pPr>
    </w:p>
    <w:p w14:paraId="6D5411BF">
      <w:pPr>
        <w:pStyle w:val="12"/>
        <w:jc w:val="center"/>
        <w:rPr>
          <w:rFonts w:hint="eastAsia" w:ascii="仿宋_GB2312" w:hAnsi="仿宋_GB2312" w:eastAsia="仿宋_GB2312" w:cs="仿宋_GB2312"/>
          <w:b w:val="0"/>
          <w:bCs w:val="0"/>
          <w:sz w:val="72"/>
          <w:szCs w:val="72"/>
          <w:lang w:eastAsia="zh-CN"/>
        </w:rPr>
      </w:pPr>
    </w:p>
    <w:p w14:paraId="1FDF15C0">
      <w:pPr>
        <w:pStyle w:val="12"/>
        <w:jc w:val="center"/>
        <w:rPr>
          <w:rFonts w:hint="eastAsia" w:ascii="仿宋_GB2312" w:hAnsi="仿宋_GB2312" w:eastAsia="仿宋_GB2312" w:cs="仿宋_GB2312"/>
          <w:b w:val="0"/>
          <w:bCs w:val="0"/>
          <w:sz w:val="72"/>
          <w:szCs w:val="72"/>
          <w:lang w:eastAsia="zh-CN"/>
        </w:rPr>
      </w:pPr>
    </w:p>
    <w:p w14:paraId="0819C8B1">
      <w:pPr>
        <w:pStyle w:val="12"/>
        <w:jc w:val="center"/>
        <w:rPr>
          <w:rFonts w:hint="eastAsia" w:ascii="仿宋_GB2312" w:hAnsi="仿宋_GB2312" w:eastAsia="仿宋_GB2312" w:cs="仿宋_GB2312"/>
          <w:b w:val="0"/>
          <w:bCs w:val="0"/>
          <w:sz w:val="72"/>
          <w:szCs w:val="72"/>
          <w:lang w:eastAsia="zh-CN"/>
        </w:rPr>
      </w:pPr>
    </w:p>
    <w:p w14:paraId="33DDBB5D">
      <w:pPr>
        <w:pStyle w:val="12"/>
        <w:jc w:val="center"/>
        <w:rPr>
          <w:rFonts w:hint="eastAsia" w:ascii="仿宋_GB2312" w:hAnsi="仿宋_GB2312" w:eastAsia="仿宋_GB2312" w:cs="仿宋_GB2312"/>
          <w:b w:val="0"/>
          <w:bCs w:val="0"/>
          <w:sz w:val="72"/>
          <w:szCs w:val="72"/>
          <w:lang w:eastAsia="zh-CN"/>
        </w:rPr>
      </w:pPr>
    </w:p>
    <w:p w14:paraId="08EEF964">
      <w:pPr>
        <w:pStyle w:val="12"/>
        <w:jc w:val="center"/>
        <w:rPr>
          <w:rFonts w:hint="eastAsia" w:ascii="仿宋_GB2312" w:hAnsi="仿宋_GB2312" w:eastAsia="仿宋_GB2312" w:cs="仿宋_GB2312"/>
          <w:b w:val="0"/>
          <w:bCs w:val="0"/>
          <w:sz w:val="72"/>
          <w:szCs w:val="72"/>
          <w:lang w:eastAsia="zh-CN"/>
        </w:rPr>
      </w:pPr>
    </w:p>
    <w:p w14:paraId="15AB57B5">
      <w:pPr>
        <w:pStyle w:val="12"/>
        <w:jc w:val="center"/>
        <w:rPr>
          <w:rFonts w:hint="eastAsia" w:ascii="方正小标宋_GBK" w:hAnsi="方正小标宋_GBK" w:eastAsia="方正小标宋_GBK" w:cs="方正小标宋_GBK"/>
          <w:sz w:val="72"/>
          <w:szCs w:val="72"/>
        </w:rPr>
      </w:pPr>
    </w:p>
    <w:p w14:paraId="52F586B3">
      <w:pPr>
        <w:pStyle w:val="12"/>
        <w:jc w:val="center"/>
        <w:rPr>
          <w:rFonts w:hint="eastAsia" w:ascii="方正小标宋_GBK" w:hAnsi="方正小标宋_GBK" w:eastAsia="方正小标宋_GBK" w:cs="方正小标宋_GBK"/>
          <w:sz w:val="72"/>
          <w:szCs w:val="72"/>
        </w:rPr>
      </w:pPr>
    </w:p>
    <w:p w14:paraId="2ED393AF">
      <w:pPr>
        <w:pStyle w:val="12"/>
        <w:jc w:val="both"/>
        <w:rPr>
          <w:rFonts w:hint="eastAsia" w:ascii="方正小标宋_GBK" w:hAnsi="方正小标宋_GBK" w:eastAsia="方正小标宋_GBK" w:cs="方正小标宋_GBK"/>
          <w:sz w:val="72"/>
          <w:szCs w:val="72"/>
        </w:rPr>
      </w:pPr>
    </w:p>
    <w:p w14:paraId="2622C928">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173B10F">
      <w:pPr>
        <w:pStyle w:val="12"/>
        <w:jc w:val="center"/>
        <w:rPr>
          <w:rFonts w:hint="eastAsia" w:ascii="方正小标宋_GBK" w:hAnsi="方正小标宋_GBK" w:eastAsia="方正小标宋_GBK" w:cs="方正小标宋_GBK"/>
          <w:sz w:val="70"/>
          <w:szCs w:val="70"/>
        </w:rPr>
      </w:pPr>
    </w:p>
    <w:p w14:paraId="651257B6">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76ED1D8A">
      <w:pPr>
        <w:pStyle w:val="12"/>
        <w:jc w:val="center"/>
        <w:rPr>
          <w:rFonts w:hint="eastAsia" w:ascii="方正小标宋_GBK" w:hAnsi="方正小标宋_GBK" w:eastAsia="方正小标宋_GBK" w:cs="方正小标宋_GBK"/>
          <w:sz w:val="70"/>
          <w:szCs w:val="70"/>
        </w:rPr>
      </w:pPr>
    </w:p>
    <w:p w14:paraId="49F525BF">
      <w:pPr>
        <w:pStyle w:val="12"/>
        <w:jc w:val="center"/>
        <w:rPr>
          <w:rFonts w:hint="eastAsia" w:ascii="方正小标宋_GBK" w:hAnsi="方正小标宋_GBK" w:eastAsia="方正小标宋_GBK" w:cs="方正小标宋_GBK"/>
          <w:sz w:val="70"/>
          <w:szCs w:val="70"/>
        </w:rPr>
      </w:pPr>
    </w:p>
    <w:p w14:paraId="6462C469">
      <w:pPr>
        <w:pStyle w:val="12"/>
        <w:jc w:val="center"/>
        <w:rPr>
          <w:rFonts w:hint="eastAsia" w:ascii="方正小标宋_GBK" w:hAnsi="方正小标宋_GBK" w:eastAsia="方正小标宋_GBK" w:cs="方正小标宋_GBK"/>
          <w:sz w:val="70"/>
          <w:szCs w:val="70"/>
        </w:rPr>
      </w:pPr>
    </w:p>
    <w:p w14:paraId="2BCC73DC">
      <w:pPr>
        <w:pStyle w:val="12"/>
        <w:jc w:val="center"/>
        <w:rPr>
          <w:rFonts w:hint="eastAsia" w:ascii="方正小标宋_GBK" w:hAnsi="方正小标宋_GBK" w:eastAsia="方正小标宋_GBK" w:cs="方正小标宋_GBK"/>
          <w:sz w:val="70"/>
          <w:szCs w:val="70"/>
        </w:rPr>
      </w:pPr>
    </w:p>
    <w:p w14:paraId="4A48D619">
      <w:pPr>
        <w:pStyle w:val="12"/>
        <w:jc w:val="center"/>
        <w:rPr>
          <w:rFonts w:hint="eastAsia" w:ascii="方正小标宋_GBK" w:hAnsi="方正小标宋_GBK" w:eastAsia="方正小标宋_GBK" w:cs="方正小标宋_GBK"/>
          <w:sz w:val="70"/>
          <w:szCs w:val="70"/>
        </w:rPr>
      </w:pPr>
    </w:p>
    <w:p w14:paraId="1C35F66C">
      <w:pPr>
        <w:pStyle w:val="12"/>
        <w:jc w:val="both"/>
        <w:rPr>
          <w:rFonts w:hint="eastAsia" w:ascii="方正小标宋_GBK" w:hAnsi="方正小标宋_GBK" w:eastAsia="方正小标宋_GBK" w:cs="方正小标宋_GBK"/>
          <w:sz w:val="70"/>
          <w:szCs w:val="70"/>
        </w:rPr>
      </w:pPr>
    </w:p>
    <w:p w14:paraId="130BF723">
      <w:pPr>
        <w:widowControl/>
        <w:ind w:firstLine="640" w:firstLineChars="200"/>
        <w:jc w:val="left"/>
        <w:rPr>
          <w:rFonts w:hint="eastAsia"/>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1315A60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96B3DF3">
      <w:pPr>
        <w:widowControl/>
        <w:ind w:firstLine="640" w:firstLineChars="200"/>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w:t>
      </w: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zh-CN" w:eastAsia="zh-CN" w:bidi="ar-SA"/>
        </w:rPr>
        <w:t>年度收、支总计均为</w:t>
      </w:r>
      <w:r>
        <w:rPr>
          <w:rFonts w:hint="eastAsia" w:ascii="仿宋_GB2312" w:hAnsi="仿宋_GB2312" w:eastAsia="仿宋_GB2312" w:cs="仿宋_GB2312"/>
          <w:kern w:val="2"/>
          <w:sz w:val="32"/>
          <w:szCs w:val="32"/>
          <w:lang w:val="en-US" w:eastAsia="zh-CN" w:bidi="ar-SA"/>
        </w:rPr>
        <w:t>4313.68</w:t>
      </w:r>
      <w:r>
        <w:rPr>
          <w:rFonts w:hint="eastAsia" w:ascii="仿宋_GB2312" w:hAnsi="仿宋_GB2312" w:eastAsia="仿宋_GB2312" w:cs="仿宋_GB2312"/>
          <w:kern w:val="2"/>
          <w:sz w:val="32"/>
          <w:szCs w:val="32"/>
          <w:lang w:val="zh-CN" w:eastAsia="zh-CN" w:bidi="ar-SA"/>
        </w:rPr>
        <w:t>万元，与202</w:t>
      </w: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zh-CN" w:eastAsia="zh-CN" w:bidi="ar-SA"/>
        </w:rPr>
        <w:t>年相比，收、支总计各减少</w:t>
      </w:r>
      <w:r>
        <w:rPr>
          <w:rFonts w:hint="eastAsia" w:ascii="仿宋_GB2312" w:hAnsi="仿宋_GB2312" w:eastAsia="仿宋_GB2312" w:cs="仿宋_GB2312"/>
          <w:kern w:val="2"/>
          <w:sz w:val="32"/>
          <w:szCs w:val="32"/>
          <w:lang w:val="en-US" w:eastAsia="zh-CN" w:bidi="ar-SA"/>
        </w:rPr>
        <w:t>828.65</w:t>
      </w:r>
      <w:r>
        <w:rPr>
          <w:rFonts w:hint="eastAsia" w:ascii="仿宋_GB2312" w:hAnsi="仿宋_GB2312" w:eastAsia="仿宋_GB2312" w:cs="仿宋_GB2312"/>
          <w:kern w:val="2"/>
          <w:sz w:val="32"/>
          <w:szCs w:val="32"/>
          <w:lang w:val="zh-CN" w:eastAsia="zh-CN" w:bidi="ar-SA"/>
        </w:rPr>
        <w:t>万元，下降</w:t>
      </w:r>
      <w:r>
        <w:rPr>
          <w:rFonts w:hint="eastAsia" w:ascii="仿宋_GB2312" w:hAnsi="仿宋_GB2312" w:eastAsia="仿宋_GB2312" w:cs="仿宋_GB2312"/>
          <w:kern w:val="2"/>
          <w:sz w:val="32"/>
          <w:szCs w:val="32"/>
          <w:lang w:val="en-US" w:eastAsia="zh-CN" w:bidi="ar-SA"/>
        </w:rPr>
        <w:t>16.11</w:t>
      </w:r>
      <w:r>
        <w:rPr>
          <w:rFonts w:hint="eastAsia" w:ascii="仿宋_GB2312" w:hAnsi="仿宋_GB2312" w:eastAsia="仿宋_GB2312" w:cs="仿宋_GB2312"/>
          <w:kern w:val="2"/>
          <w:sz w:val="32"/>
          <w:szCs w:val="32"/>
          <w:lang w:val="zh-CN" w:eastAsia="zh-CN" w:bidi="ar-SA"/>
        </w:rPr>
        <w:t>%。主要原因是</w:t>
      </w:r>
      <w:r>
        <w:rPr>
          <w:rFonts w:hint="eastAsia" w:ascii="仿宋_GB2312" w:hAnsi="仿宋_GB2312" w:eastAsia="仿宋_GB2312" w:cs="仿宋_GB2312"/>
          <w:kern w:val="2"/>
          <w:sz w:val="32"/>
          <w:szCs w:val="32"/>
          <w:lang w:val="en-US" w:eastAsia="zh-CN" w:bidi="ar-SA"/>
        </w:rPr>
        <w:t>单位专项经费减少</w:t>
      </w:r>
      <w:r>
        <w:rPr>
          <w:rFonts w:hint="eastAsia" w:ascii="仿宋_GB2312" w:hAnsi="仿宋_GB2312" w:eastAsia="仿宋_GB2312" w:cs="仿宋_GB2312"/>
          <w:kern w:val="2"/>
          <w:sz w:val="32"/>
          <w:szCs w:val="32"/>
          <w:lang w:val="zh-CN" w:eastAsia="zh-CN" w:bidi="ar-SA"/>
        </w:rPr>
        <w:t>。</w:t>
      </w:r>
    </w:p>
    <w:p w14:paraId="43E041F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8B8D7A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4293.02</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4274.44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99.56</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20.58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0.46</w:t>
      </w:r>
      <w:r>
        <w:rPr>
          <w:rFonts w:hint="eastAsia" w:ascii="仿宋_GB2312" w:hAnsi="仿宋_GB2312" w:eastAsia="仿宋_GB2312" w:cs="仿宋_GB2312"/>
          <w:sz w:val="32"/>
          <w:szCs w:val="32"/>
        </w:rPr>
        <w:t>%。</w:t>
      </w:r>
    </w:p>
    <w:p w14:paraId="72B65A1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BE9365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4313.68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2680.13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62.13</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1633.55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37.87</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00A9D40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BB12CAE">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color w:val="000000"/>
          <w:kern w:val="0"/>
          <w:sz w:val="32"/>
          <w:szCs w:val="32"/>
          <w:lang w:val="en-US" w:eastAsia="zh-CN" w:bidi="ar-SA"/>
        </w:rPr>
        <w:t>均为</w:t>
      </w:r>
      <w:r>
        <w:rPr>
          <w:rFonts w:hint="eastAsia" w:ascii="仿宋_GB2312" w:hAnsi="仿宋_GB2312" w:eastAsia="仿宋_GB2312" w:cs="仿宋_GB2312"/>
          <w:sz w:val="32"/>
          <w:szCs w:val="32"/>
          <w:lang w:val="en-US" w:eastAsia="zh-CN"/>
        </w:rPr>
        <w:t>4274.44</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817.44</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16.05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单位专项资金减少。</w:t>
      </w:r>
    </w:p>
    <w:p w14:paraId="4E342F7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582AFB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7B92D73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3287.02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76.9</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1442.13</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30.49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color w:val="000000"/>
          <w:kern w:val="0"/>
          <w:sz w:val="32"/>
          <w:szCs w:val="32"/>
          <w:lang w:val="en-US" w:eastAsia="zh-CN" w:bidi="ar-SA"/>
        </w:rPr>
        <w:t>单位专项经费减少。</w:t>
      </w:r>
    </w:p>
    <w:p w14:paraId="3483E6B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EBBE1B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3287.02</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color w:val="000000"/>
          <w:kern w:val="0"/>
          <w:sz w:val="32"/>
          <w:szCs w:val="24"/>
          <w:highlight w:val="white"/>
          <w:lang w:val="en-US"/>
        </w:rPr>
        <w:t>社会保障和就业（类）支出</w:t>
      </w:r>
      <w:r>
        <w:rPr>
          <w:rFonts w:hint="eastAsia" w:ascii="仿宋_GB2312" w:hAnsi="仿宋_GB2312" w:eastAsia="仿宋_GB2312" w:cs="仿宋_GB2312"/>
          <w:color w:val="000000"/>
          <w:kern w:val="0"/>
          <w:sz w:val="32"/>
          <w:szCs w:val="24"/>
          <w:highlight w:val="white"/>
          <w:lang w:val="en-US" w:eastAsia="zh-CN"/>
        </w:rPr>
        <w:t>168.78</w:t>
      </w:r>
      <w:r>
        <w:rPr>
          <w:rFonts w:hint="eastAsia" w:ascii="仿宋_GB2312" w:hAnsi="仿宋_GB2312" w:eastAsia="仿宋_GB2312" w:cs="仿宋_GB2312"/>
          <w:color w:val="000000"/>
          <w:kern w:val="0"/>
          <w:sz w:val="32"/>
          <w:szCs w:val="24"/>
          <w:highlight w:val="white"/>
        </w:rPr>
        <w:t>万</w:t>
      </w:r>
      <w:r>
        <w:rPr>
          <w:rFonts w:hint="eastAsia" w:ascii="仿宋_GB2312" w:hAnsi="仿宋_GB2312" w:eastAsia="仿宋_GB2312" w:cs="仿宋_GB2312"/>
          <w:color w:val="000000"/>
          <w:kern w:val="0"/>
          <w:sz w:val="32"/>
          <w:szCs w:val="24"/>
          <w:highlight w:val="white"/>
          <w:lang w:val="en-US"/>
        </w:rPr>
        <w:t>元，占</w:t>
      </w:r>
      <w:r>
        <w:rPr>
          <w:rFonts w:hint="eastAsia" w:ascii="仿宋_GB2312" w:hAnsi="仿宋_GB2312" w:eastAsia="仿宋_GB2312" w:cs="仿宋_GB2312"/>
          <w:color w:val="000000"/>
          <w:kern w:val="0"/>
          <w:sz w:val="32"/>
          <w:szCs w:val="24"/>
          <w:highlight w:val="white"/>
          <w:lang w:val="en-US" w:eastAsia="zh-CN"/>
        </w:rPr>
        <w:t>5.13</w:t>
      </w:r>
      <w:r>
        <w:rPr>
          <w:rFonts w:hint="eastAsia" w:ascii="仿宋_GB2312" w:hAnsi="仿宋_GB2312" w:eastAsia="仿宋_GB2312" w:cs="仿宋_GB2312"/>
          <w:color w:val="000000"/>
          <w:kern w:val="0"/>
          <w:sz w:val="32"/>
          <w:szCs w:val="24"/>
          <w:highlight w:val="white"/>
          <w:lang w:val="en-US"/>
        </w:rPr>
        <w:t>%；城乡社区（类）支出</w:t>
      </w:r>
      <w:r>
        <w:rPr>
          <w:rFonts w:hint="eastAsia" w:ascii="仿宋_GB2312" w:hAnsi="仿宋_GB2312" w:eastAsia="仿宋_GB2312" w:cs="仿宋_GB2312"/>
          <w:color w:val="000000"/>
          <w:kern w:val="0"/>
          <w:sz w:val="32"/>
          <w:szCs w:val="24"/>
          <w:highlight w:val="white"/>
          <w:lang w:val="en-US" w:eastAsia="zh-CN"/>
        </w:rPr>
        <w:t>3005.51</w:t>
      </w:r>
      <w:r>
        <w:rPr>
          <w:rFonts w:hint="eastAsia" w:ascii="仿宋_GB2312" w:hAnsi="仿宋_GB2312" w:eastAsia="仿宋_GB2312" w:cs="仿宋_GB2312"/>
          <w:color w:val="000000"/>
          <w:kern w:val="0"/>
          <w:sz w:val="32"/>
          <w:szCs w:val="24"/>
          <w:highlight w:val="white"/>
        </w:rPr>
        <w:t>万</w:t>
      </w:r>
      <w:r>
        <w:rPr>
          <w:rFonts w:hint="eastAsia" w:ascii="仿宋_GB2312" w:hAnsi="仿宋_GB2312" w:eastAsia="仿宋_GB2312" w:cs="仿宋_GB2312"/>
          <w:color w:val="000000"/>
          <w:kern w:val="0"/>
          <w:sz w:val="32"/>
          <w:szCs w:val="24"/>
          <w:highlight w:val="white"/>
          <w:lang w:val="en-US"/>
        </w:rPr>
        <w:t>元，占9</w:t>
      </w:r>
      <w:r>
        <w:rPr>
          <w:rFonts w:hint="eastAsia" w:ascii="仿宋_GB2312" w:hAnsi="仿宋_GB2312" w:eastAsia="仿宋_GB2312" w:cs="仿宋_GB2312"/>
          <w:color w:val="000000"/>
          <w:kern w:val="0"/>
          <w:sz w:val="32"/>
          <w:szCs w:val="24"/>
          <w:highlight w:val="white"/>
          <w:lang w:val="en-US" w:eastAsia="zh-CN"/>
        </w:rPr>
        <w:t>3.91</w:t>
      </w:r>
      <w:r>
        <w:rPr>
          <w:rFonts w:hint="eastAsia" w:ascii="仿宋_GB2312" w:hAnsi="仿宋_GB2312" w:eastAsia="仿宋_GB2312" w:cs="仿宋_GB2312"/>
          <w:color w:val="000000"/>
          <w:kern w:val="0"/>
          <w:sz w:val="32"/>
          <w:szCs w:val="24"/>
          <w:highlight w:val="white"/>
          <w:lang w:val="en-US"/>
        </w:rPr>
        <w:t>%；住房保障（类）支出</w:t>
      </w:r>
      <w:r>
        <w:rPr>
          <w:rFonts w:hint="eastAsia" w:ascii="仿宋_GB2312" w:hAnsi="仿宋_GB2312" w:eastAsia="仿宋_GB2312" w:cs="仿宋_GB2312"/>
          <w:color w:val="000000"/>
          <w:kern w:val="0"/>
          <w:sz w:val="32"/>
          <w:szCs w:val="24"/>
          <w:highlight w:val="white"/>
          <w:lang w:val="en-US" w:eastAsia="zh-CN"/>
        </w:rPr>
        <w:t>112.72</w:t>
      </w:r>
      <w:r>
        <w:rPr>
          <w:rFonts w:hint="eastAsia" w:ascii="仿宋_GB2312" w:hAnsi="仿宋_GB2312" w:eastAsia="仿宋_GB2312" w:cs="仿宋_GB2312"/>
          <w:color w:val="000000"/>
          <w:kern w:val="0"/>
          <w:sz w:val="32"/>
          <w:szCs w:val="24"/>
          <w:highlight w:val="white"/>
          <w:lang w:val="en-US"/>
        </w:rPr>
        <w:t>元，占2.3</w:t>
      </w:r>
      <w:r>
        <w:rPr>
          <w:rFonts w:hint="eastAsia" w:ascii="仿宋_GB2312" w:hAnsi="仿宋_GB2312" w:eastAsia="仿宋_GB2312" w:cs="仿宋_GB2312"/>
          <w:color w:val="000000"/>
          <w:kern w:val="0"/>
          <w:sz w:val="32"/>
          <w:szCs w:val="24"/>
          <w:highlight w:val="white"/>
          <w:lang w:val="en-US" w:eastAsia="zh-CN"/>
        </w:rPr>
        <w:t>6</w:t>
      </w:r>
      <w:r>
        <w:rPr>
          <w:rFonts w:hint="eastAsia" w:ascii="仿宋_GB2312" w:hAnsi="仿宋_GB2312" w:eastAsia="仿宋_GB2312" w:cs="仿宋_GB2312"/>
          <w:color w:val="000000"/>
          <w:kern w:val="0"/>
          <w:sz w:val="32"/>
          <w:szCs w:val="24"/>
          <w:highlight w:val="white"/>
          <w:lang w:val="en-US"/>
        </w:rPr>
        <w:t>%</w:t>
      </w:r>
      <w:r>
        <w:rPr>
          <w:rFonts w:hint="eastAsia" w:ascii="仿宋_GB2312" w:hAnsi="仿宋_GB2312" w:eastAsia="仿宋_GB2312" w:cs="仿宋_GB2312"/>
          <w:color w:val="000000"/>
          <w:kern w:val="0"/>
          <w:sz w:val="32"/>
          <w:szCs w:val="24"/>
          <w:highlight w:val="white"/>
        </w:rPr>
        <w:t>。</w:t>
      </w:r>
    </w:p>
    <w:p w14:paraId="078CEDF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06E4EB9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2427.19</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3287.02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135.42</w:t>
      </w:r>
      <w:r>
        <w:rPr>
          <w:rFonts w:hint="eastAsia" w:ascii="仿宋_GB2312" w:hAnsi="仿宋_GB2312" w:eastAsia="仿宋_GB2312" w:cs="仿宋_GB2312"/>
          <w:sz w:val="32"/>
          <w:szCs w:val="32"/>
        </w:rPr>
        <w:t>%，其中：</w:t>
      </w:r>
    </w:p>
    <w:p w14:paraId="0C408A7B">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sz w:val="32"/>
          <w:szCs w:val="32"/>
        </w:rPr>
        <w:t>社会保障和就业支出（类）行政事业单位养老支出（款）机关事业单位基本养老保险缴费支出（项）。</w:t>
      </w:r>
    </w:p>
    <w:p w14:paraId="746F6E6D">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146.7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149.58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101.96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07A11C54">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2、社会保障和就业支出（类）抚恤（款）其他优抚支出（项）。</w:t>
      </w:r>
    </w:p>
    <w:p w14:paraId="66AB074A">
      <w:pPr>
        <w:pStyle w:val="12"/>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因预算数为0，无法计算百分比，决算数大于预算数的主要原因是年中追加预算。</w:t>
      </w:r>
    </w:p>
    <w:p w14:paraId="1AC66D1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、社会保障和就业支出（类）残疾人事业（款）其他残疾人事业支出（项）。</w:t>
      </w:r>
    </w:p>
    <w:p w14:paraId="1CCD879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11.28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11.28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p>
    <w:p w14:paraId="3E20AFA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、社会保障和就业支出（类）其他社会保障和就业支出（款）其他社会保障和就业支出（项）。</w:t>
      </w:r>
    </w:p>
    <w:p w14:paraId="3A91AD0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3.53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05DE301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、城乡社区支出（类）城乡社区管理事务（款）行政运行（项）。</w:t>
      </w:r>
    </w:p>
    <w:p w14:paraId="4765A55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2175.06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108.75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7626FB3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、城乡社区支出（类）城乡社区管理事务（款）一般行政管理事务（项）。</w:t>
      </w:r>
    </w:p>
    <w:p w14:paraId="387DBFA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因预算数为0，无法计算百分比，决算数大于预算数的主要原因是</w:t>
      </w:r>
      <w:r>
        <w:rPr>
          <w:rFonts w:hint="eastAsia" w:ascii="仿宋_GB2312" w:hAnsi="仿宋_GB2312" w:eastAsia="仿宋_GB2312" w:cs="仿宋_GB2312"/>
          <w:sz w:val="32"/>
          <w:szCs w:val="32"/>
          <w:lang w:val="en-US" w:eastAsia="zh-CN"/>
        </w:rPr>
        <w:t>年中追加预算。</w:t>
      </w:r>
    </w:p>
    <w:p w14:paraId="19D5F88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、城乡社区支出（类）城乡社区管理事务（款）其他城乡社区管理事务支出（项）。</w:t>
      </w:r>
    </w:p>
    <w:p w14:paraId="0DF82AC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69.21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因预算数为0，无法计算百分比，决算数大于预算数的主要原因是</w:t>
      </w:r>
      <w:r>
        <w:rPr>
          <w:rFonts w:hint="eastAsia" w:ascii="仿宋_GB2312" w:hAnsi="仿宋_GB2312" w:eastAsia="仿宋_GB2312" w:cs="仿宋_GB2312"/>
          <w:sz w:val="32"/>
          <w:szCs w:val="32"/>
          <w:lang w:val="en-US" w:eastAsia="zh-CN"/>
        </w:rPr>
        <w:t>年中追加预算。</w:t>
      </w:r>
    </w:p>
    <w:p w14:paraId="6385DE0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、城乡社区支出（类）城乡社区规划与管理（款）城乡社区规划与管理（项）。</w:t>
      </w:r>
    </w:p>
    <w:p w14:paraId="6D8E15A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265.68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276.76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104.17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534797C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、城乡社区支出（类）城乡社区公共设施（款）小城镇基础设施建设（项）。</w:t>
      </w:r>
    </w:p>
    <w:p w14:paraId="3E9708A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5.22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6C5EBE4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、城乡社区支出（类）城乡社区公共设施（款）其他城乡社区公共设施支出（项）。</w:t>
      </w:r>
    </w:p>
    <w:p w14:paraId="653D792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416.01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67B1DCD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、城乡社区支出（类）其他城乡社区支出（款）其他城乡社区支出（项）。</w:t>
      </w:r>
    </w:p>
    <w:p w14:paraId="36ED92C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33.25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53843FB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、住房保障支出（类）住房改革支出（款）住房公积金（项）。</w:t>
      </w:r>
    </w:p>
    <w:p w14:paraId="62CCF51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112.72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7199DA7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93AEB6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2640.88</w:t>
      </w:r>
      <w:r>
        <w:rPr>
          <w:rFonts w:hint="eastAsia" w:ascii="仿宋_GB2312" w:hAnsi="仿宋_GB2312" w:eastAsia="仿宋_GB2312" w:cs="仿宋_GB2312"/>
          <w:sz w:val="32"/>
          <w:szCs w:val="32"/>
        </w:rPr>
        <w:t>万元，其中：</w:t>
      </w:r>
    </w:p>
    <w:p w14:paraId="34676E3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2249.63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85.18</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color w:val="000000"/>
          <w:kern w:val="0"/>
          <w:sz w:val="32"/>
          <w:szCs w:val="32"/>
          <w:lang w:val="zh-CN" w:eastAsia="zh-CN" w:bidi="ar-SA"/>
        </w:rPr>
        <w:t>、绩效工资、机关事业单位基本养老保险缴费、职工基本医疗保险缴费、其他社会保障缴费、住房公积金、医疗费、退休费、抚恤金、医疗费补助、其他对个人和家庭的补助</w:t>
      </w:r>
      <w:r>
        <w:rPr>
          <w:rFonts w:hint="eastAsia" w:ascii="仿宋_GB2312" w:hAnsi="仿宋_GB2312" w:eastAsia="仿宋_GB2312" w:cs="仿宋_GB2312"/>
          <w:sz w:val="32"/>
          <w:szCs w:val="32"/>
          <w:lang w:eastAsia="zh-CN"/>
        </w:rPr>
        <w:t>。</w:t>
      </w:r>
    </w:p>
    <w:p w14:paraId="1F2FE6CE">
      <w:pPr>
        <w:keepNext/>
        <w:keepLines/>
        <w:ind w:firstLine="643"/>
        <w:jc w:val="left"/>
        <w:rPr>
          <w:rFonts w:hint="eastAsia" w:ascii="仿宋_GB2312" w:hAnsi="仿宋_GB2312" w:eastAsia="仿宋_GB2312" w:cs="仿宋_GB2312"/>
          <w:b/>
          <w:color w:val="FF0000"/>
          <w:sz w:val="32"/>
          <w:szCs w:val="24"/>
          <w:highlight w:val="white"/>
          <w:lang w:val="zh-CN"/>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391.25</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14.82</w:t>
      </w:r>
      <w:r>
        <w:rPr>
          <w:rFonts w:hint="eastAsia" w:ascii="仿宋_GB2312" w:hAnsi="仿宋_GB2312" w:eastAsia="仿宋_GB2312" w:cs="仿宋_GB2312"/>
          <w:sz w:val="32"/>
          <w:szCs w:val="32"/>
        </w:rPr>
        <w:t>%，主要包括</w:t>
      </w:r>
      <w:r>
        <w:rPr>
          <w:rFonts w:hint="eastAsia" w:ascii="仿宋_GB2312" w:hAnsi="仿宋_GB2312" w:eastAsia="仿宋_GB2312" w:cs="仿宋_GB2312"/>
          <w:color w:val="000000"/>
          <w:kern w:val="0"/>
          <w:sz w:val="32"/>
          <w:szCs w:val="32"/>
          <w:lang w:val="en-US" w:eastAsia="zh-CN" w:bidi="ar-SA"/>
        </w:rPr>
        <w:t>办公费、印刷费、水费、电费、邮电费、物业管理费、差旅费、专用材料费、劳务费、工会经费、福利费、公务用车运行维护费、其他交通费用、其他商品和服务支出。</w:t>
      </w:r>
    </w:p>
    <w:p w14:paraId="01FBB29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12592558">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年度政府性基金预算财政拨款收入</w:t>
      </w:r>
      <w:r>
        <w:rPr>
          <w:rFonts w:hint="eastAsia" w:ascii="仿宋_GB2312" w:hAnsi="仿宋_GB2312" w:eastAsia="仿宋_GB2312" w:cs="仿宋_GB2312"/>
          <w:sz w:val="32"/>
          <w:szCs w:val="32"/>
          <w:lang w:val="en-US" w:eastAsia="zh-CN"/>
        </w:rPr>
        <w:t>987.41</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987.41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987.41</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万元。具体情况如下：</w:t>
      </w:r>
    </w:p>
    <w:p w14:paraId="5325FC7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1、城乡社区支出（类）国有土地使用权出让收入安排的支出（款）其他国有土地使用权出让收入安排的支出（项）。</w:t>
      </w:r>
    </w:p>
    <w:p w14:paraId="4C6CA21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987.41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rPr>
        <w:t>因预算数为0，无法计算百分比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决算数大于预算数的主要原因是</w:t>
      </w:r>
      <w:r>
        <w:rPr>
          <w:rFonts w:hint="eastAsia" w:ascii="仿宋_GB2312" w:hAnsi="仿宋_GB2312" w:eastAsia="仿宋_GB2312" w:cs="仿宋_GB2312"/>
          <w:sz w:val="32"/>
          <w:szCs w:val="32"/>
          <w:lang w:val="en-US" w:eastAsia="zh-CN"/>
        </w:rPr>
        <w:t>年中追加预算。</w:t>
      </w:r>
    </w:p>
    <w:p w14:paraId="2C5028D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5F053370">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5C5E2D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0272D72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02D1092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94.54</w:t>
      </w:r>
      <w:r>
        <w:rPr>
          <w:rFonts w:ascii="Times New Roman" w:hAnsi="Times New Roman" w:eastAsia="仿宋_GB2312" w:cs="Times New Roman"/>
          <w:sz w:val="32"/>
          <w:szCs w:val="32"/>
        </w:rPr>
        <w:t>%；与上年减少</w:t>
      </w:r>
      <w:r>
        <w:rPr>
          <w:rFonts w:hint="default" w:ascii="Times New Roman" w:hAnsi="Times New Roman" w:eastAsia="仿宋_GB2312" w:cs="Times New Roman"/>
          <w:sz w:val="32"/>
          <w:szCs w:val="32"/>
          <w:lang w:val="en-US"/>
        </w:rPr>
        <w:t>45.02</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68.4</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严格控制费用使用</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公务用车运行维护费用减少</w:t>
      </w:r>
      <w:r>
        <w:rPr>
          <w:rFonts w:ascii="Times New Roman" w:hAnsi="Times New Roman" w:eastAsia="仿宋_GB2312" w:cs="Times New Roman"/>
          <w:sz w:val="32"/>
          <w:szCs w:val="32"/>
        </w:rPr>
        <w:t>。</w:t>
      </w:r>
    </w:p>
    <w:p w14:paraId="1B5E5B0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71BE7A86">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1.</w:t>
      </w:r>
      <w:r>
        <w:rPr>
          <w:rFonts w:hint="eastAsia" w:ascii="仿宋_GB2312" w:hAnsi="仿宋_GB2312" w:eastAsia="仿宋_GB2312" w:cs="仿宋_GB2312"/>
          <w:sz w:val="32"/>
          <w:szCs w:val="32"/>
        </w:rPr>
        <w:t>因公出国（境）费支出预算为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万元，决算数等于预算数，主要原因是我单位严格按预算执行决算；与上年一致，无增减变动，主要原因是未安排因公出国（境）活动。2025年度安排因公出国（境）团组0个，累计0人次。</w:t>
      </w:r>
    </w:p>
    <w:p w14:paraId="0B563E8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94.54</w:t>
      </w:r>
      <w:r>
        <w:rPr>
          <w:rFonts w:ascii="Times New Roman" w:hAnsi="Times New Roman" w:eastAsia="仿宋_GB2312" w:cs="Times New Roman"/>
          <w:sz w:val="32"/>
          <w:szCs w:val="32"/>
        </w:rPr>
        <w:t>%；与上年减少</w:t>
      </w:r>
      <w:r>
        <w:rPr>
          <w:rFonts w:hint="default" w:ascii="Times New Roman" w:hAnsi="Times New Roman" w:eastAsia="仿宋_GB2312" w:cs="Times New Roman"/>
          <w:sz w:val="32"/>
          <w:szCs w:val="32"/>
          <w:lang w:val="en-US"/>
        </w:rPr>
        <w:t>45.02</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68.4</w:t>
      </w:r>
      <w:r>
        <w:rPr>
          <w:rFonts w:ascii="Times New Roman" w:hAnsi="Times New Roman" w:eastAsia="仿宋_GB2312" w:cs="Times New Roman"/>
          <w:sz w:val="32"/>
          <w:szCs w:val="32"/>
        </w:rPr>
        <w:t>%。其中：</w:t>
      </w:r>
    </w:p>
    <w:p w14:paraId="10528C5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公务用车购置费支出预算为0万元，支出决算为0万元，决算数等于预算数，主要原因是我单位严格按预算执行决算；与上年一致，无增减变动，主要原因是两年均未购置公务用车。本单位更新公务用车0辆。</w:t>
      </w:r>
    </w:p>
    <w:p w14:paraId="298CE4BF">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94.54</w:t>
      </w:r>
      <w:r>
        <w:rPr>
          <w:rFonts w:ascii="Times New Roman" w:hAnsi="Times New Roman" w:eastAsia="仿宋_GB2312" w:cs="Times New Roman"/>
          <w:sz w:val="32"/>
          <w:szCs w:val="32"/>
        </w:rPr>
        <w:t>%；与上年减少</w:t>
      </w:r>
      <w:r>
        <w:rPr>
          <w:rFonts w:hint="default" w:ascii="Times New Roman" w:hAnsi="Times New Roman" w:eastAsia="仿宋_GB2312" w:cs="Times New Roman"/>
          <w:sz w:val="32"/>
          <w:szCs w:val="32"/>
          <w:lang w:val="en-US"/>
        </w:rPr>
        <w:t>45.02</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68.4</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严格控制费用使用</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公务用车运行维护费用减少</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7E06DD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公务接待费支出预算为 0万元，支出决算为0万元，决算数等于预算数，主要原因是严格执行中央八项规定；与上年一致，无增减变动，主要原因是按有关政策厉行节约，严控公务接待支出。2025年度共接待来访团组0个、来宾0人次。</w:t>
      </w:r>
    </w:p>
    <w:p w14:paraId="5AAE3A6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0B7A091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本单位为事业单位，按照机关运行经费的口径，本年度机关运行经费为0。</w:t>
      </w:r>
    </w:p>
    <w:p w14:paraId="250EDBC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50A9373A">
      <w:pPr>
        <w:pStyle w:val="12"/>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color w:val="000000"/>
          <w:kern w:val="0"/>
          <w:sz w:val="32"/>
          <w:szCs w:val="32"/>
          <w:lang w:val="en-US" w:eastAsia="zh-CN" w:bidi="ar-SA"/>
        </w:rPr>
        <w:t>本单位无会议费的预算和支出决算数；本单位无培训费的预算和支出决算数；本单位无举办节庆、晚会、论坛、赛事等活动的预算和支出决算数。</w:t>
      </w:r>
    </w:p>
    <w:p w14:paraId="43C058E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6BD2C85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2090.69</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396.83</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189.99</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1503.87</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2090.69</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2090.69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1622A97A">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2EF41E35">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kern w:val="0"/>
          <w:sz w:val="32"/>
          <w:szCs w:val="32"/>
          <w:lang w:val="en-US" w:eastAsia="zh-CN" w:bidi="ar-SA"/>
        </w:rPr>
        <w:t>用于机要通信和应急保障之外公务用途的车辆</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353ECAB4">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5E406F03">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7CEDC36">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color w:val="auto"/>
          <w:kern w:val="0"/>
          <w:sz w:val="32"/>
          <w:szCs w:val="32"/>
          <w:lang w:val="en-US" w:eastAsia="zh-CN"/>
        </w:rPr>
        <w:t>2444.67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2444.67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4A17E3C9">
      <w:pPr>
        <w:overflowPunct w:val="0"/>
        <w:spacing w:line="600" w:lineRule="exact"/>
        <w:ind w:firstLine="640" w:firstLineChars="200"/>
        <w:rPr>
          <w:rFonts w:hint="eastAsia" w:ascii="Times New Roman" w:hAnsi="Times New Roman" w:eastAsia="仿宋_GB2312" w:cs="Times New Roman"/>
          <w:color w:val="FF0000"/>
          <w:kern w:val="0"/>
          <w:sz w:val="32"/>
          <w:szCs w:val="32"/>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kern w:val="0"/>
          <w:sz w:val="32"/>
          <w:szCs w:val="32"/>
        </w:rPr>
        <w:t>本单位为二级预算单位，部门评价开展情况可详见上级部门决算公开说明</w:t>
      </w:r>
    </w:p>
    <w:p w14:paraId="36AD0CD2">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b/>
          <w:bCs/>
          <w:kern w:val="0"/>
          <w:sz w:val="32"/>
          <w:szCs w:val="32"/>
          <w:lang w:eastAsia="zh-CN"/>
        </w:rPr>
        <w:t>。</w:t>
      </w:r>
      <w:r>
        <w:rPr>
          <w:rFonts w:hint="eastAsia" w:ascii="仿宋_GB2312" w:hAnsi="仿宋_GB2312" w:eastAsia="仿宋_GB2312" w:cs="仿宋_GB2312"/>
          <w:sz w:val="32"/>
          <w:szCs w:val="32"/>
          <w:lang w:val="en-US" w:eastAsia="zh-CN"/>
        </w:rPr>
        <w:t>本单位为二级预算单位，事前绩效评估开展情况可详见上级部门决算公开说明</w:t>
      </w:r>
    </w:p>
    <w:p w14:paraId="34350F01">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4B07144">
      <w:pPr>
        <w:ind w:firstLine="640"/>
        <w:jc w:val="left"/>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4313.68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4313.68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color w:val="auto"/>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auto"/>
          <w:sz w:val="32"/>
          <w:szCs w:val="24"/>
          <w:lang w:val="en-US"/>
        </w:rPr>
        <w:t>一是我中心积极履行职责，强</w:t>
      </w:r>
      <w:r>
        <w:rPr>
          <w:rFonts w:hint="eastAsia" w:ascii="仿宋_GB2312" w:hAnsi="仿宋_GB2312" w:eastAsia="仿宋_GB2312" w:cs="仿宋_GB2312"/>
          <w:sz w:val="32"/>
          <w:szCs w:val="24"/>
        </w:rPr>
        <w:t>化管理，圆满完成了年度工作目标，同时加强预算收支的管理，建立健全内部管理制度，严格内部管理流程，部门整体支出管理得到了提升。本年预算配置控制较好，财政供养人员控制在预算编制以内，实际在职人员数少于编制数，总体执行较好。发现的主要问题及原因：通过对我单位整体支出情况的分析，反映出目前在整体支出的预算编制、执行和管理过程中，依然存在一些问题和不足。下一步改进措施：一是本着“勤俭节约、保障运转”的原则进行预算的编制；二是首先需要满足固定性的、相对刚性的费用支出项目，尽量压缩变动性的、有控制空间的费用项目，进一步提高预算编制的科学性、合理性、严谨性和可控性。</w:t>
      </w:r>
    </w:p>
    <w:p w14:paraId="30695F09">
      <w:pPr>
        <w:overflowPunct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b/>
          <w:bCs/>
          <w:kern w:val="0"/>
          <w:sz w:val="32"/>
          <w:szCs w:val="32"/>
          <w:lang w:eastAsia="zh-CN"/>
        </w:rPr>
        <w:t>。</w:t>
      </w:r>
      <w:r>
        <w:rPr>
          <w:rFonts w:hint="eastAsia" w:ascii="仿宋_GB2312" w:hAnsi="仿宋_GB2312" w:eastAsia="仿宋_GB2312" w:cs="仿宋_GB2312"/>
          <w:color w:val="auto"/>
          <w:sz w:val="32"/>
          <w:szCs w:val="32"/>
          <w:highlight w:val="none"/>
          <w:lang w:val="en-US" w:eastAsia="zh-CN"/>
        </w:rPr>
        <w:t>本单位为二级预算单位，部门评价结果可详见上级部门决算公开说明</w:t>
      </w:r>
    </w:p>
    <w:p w14:paraId="50CB6F4B">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b/>
          <w:bCs/>
          <w:kern w:val="0"/>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本单位为二级预算单位，事前绩效评估结果可详见上级部门决算公开说明。</w:t>
      </w:r>
    </w:p>
    <w:p w14:paraId="3B96EB3A">
      <w:pPr>
        <w:numPr>
          <w:ilvl w:val="0"/>
          <w:numId w:val="3"/>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0893FE99">
      <w:pPr>
        <w:spacing w:line="560" w:lineRule="exact"/>
        <w:ind w:firstLine="64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评价结果对本部门2025年度预算安排，支出结构调整，资金管理，制度建设等方面结果运用进行简要说明。</w:t>
      </w:r>
      <w:r>
        <w:rPr>
          <w:rFonts w:hint="eastAsia" w:ascii="Times New Roman" w:hAnsi="Times New Roman" w:eastAsia="仿宋_GB2312" w:cs="Times New Roman"/>
          <w:color w:val="000000"/>
          <w:kern w:val="0"/>
          <w:sz w:val="32"/>
          <w:szCs w:val="32"/>
          <w:lang w:val="en-US" w:eastAsia="zh-CN" w:bidi="ar-SA"/>
        </w:rPr>
        <w:t>2024年，我中心以习近平新时代中国特色社会主义思想为指导，全面落实为市城管局提供支持保障和面向社会提供公益服务职能，各项工作取得积极成效，较好的完成了各项绩效目标。根据“总量控制、计划管理”的要求从严控制行政经费，压缩公务费开支，严格控制“三公”经费，支出总额控制在预算总额以内。预算管理方面：切实有效地执行了各项财务管理制度、车辆、资产内部管理制度，资产配置严格政府采购，按照预算科目规定使用财政资金，保障资金支出的规范化、制度化，项目资金坚持按专项资金管理制度有效执行，确保专款专用；履职效能方面：以深化全国文明城市、巩固国家卫生城市创建工作为抓手，统筹发展和安全，将中心工作有机融入岳阳发展新布局，谱写城管事务工作高质量发展新篇章。具体从以下几个方面发力：（一）切实增进民生福祉，让市民共享发展成果。一是坚持生态优先，环境宜居度进一步优化；二是坚持考评增效，人民满意度进一步增强；三是坚持立标树杆，单位美誉度进一步提升。（二）着力健全管理机制，让单位增强发展后劲。（三）全面发挥党建带动，让干群提升发展动力。</w:t>
      </w:r>
    </w:p>
    <w:p w14:paraId="75066DB4">
      <w:pPr>
        <w:pStyle w:val="2"/>
        <w:rPr>
          <w:rFonts w:hint="eastAsia"/>
          <w:lang w:val="en-US" w:eastAsia="zh-CN"/>
        </w:rPr>
      </w:pPr>
    </w:p>
    <w:p w14:paraId="6F6F6AE9">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4373C247">
      <w:pPr>
        <w:pStyle w:val="2"/>
        <w:rPr>
          <w:rFonts w:hint="eastAsia"/>
          <w:lang w:val="en-US" w:eastAsia="zh-CN"/>
        </w:rPr>
      </w:pPr>
    </w:p>
    <w:p w14:paraId="2B2FAC92">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1F3952EE">
      <w:pPr>
        <w:pStyle w:val="12"/>
        <w:jc w:val="both"/>
        <w:rPr>
          <w:rFonts w:hint="eastAsia" w:ascii="方正小标宋_GBK" w:hAnsi="方正小标宋_GBK" w:eastAsia="方正小标宋_GBK" w:cs="方正小标宋_GBK"/>
          <w:sz w:val="24"/>
          <w:szCs w:val="24"/>
        </w:rPr>
      </w:pPr>
    </w:p>
    <w:p w14:paraId="33285DB3">
      <w:pPr>
        <w:pStyle w:val="12"/>
        <w:jc w:val="center"/>
        <w:rPr>
          <w:rFonts w:hint="eastAsia" w:ascii="方正小标宋_GBK" w:hAnsi="方正小标宋_GBK" w:eastAsia="方正小标宋_GBK" w:cs="方正小标宋_GBK"/>
          <w:sz w:val="72"/>
          <w:szCs w:val="72"/>
        </w:rPr>
      </w:pPr>
    </w:p>
    <w:p w14:paraId="6DCDE98C">
      <w:pPr>
        <w:pStyle w:val="12"/>
        <w:jc w:val="center"/>
        <w:rPr>
          <w:rFonts w:hint="eastAsia" w:ascii="方正小标宋_GBK" w:hAnsi="方正小标宋_GBK" w:eastAsia="方正小标宋_GBK" w:cs="方正小标宋_GBK"/>
          <w:sz w:val="72"/>
          <w:szCs w:val="72"/>
        </w:rPr>
      </w:pPr>
    </w:p>
    <w:p w14:paraId="27CDAA50">
      <w:pPr>
        <w:pStyle w:val="12"/>
        <w:jc w:val="center"/>
        <w:rPr>
          <w:rFonts w:hint="eastAsia" w:ascii="方正小标宋_GBK" w:hAnsi="方正小标宋_GBK" w:eastAsia="方正小标宋_GBK" w:cs="方正小标宋_GBK"/>
          <w:sz w:val="72"/>
          <w:szCs w:val="72"/>
        </w:rPr>
      </w:pPr>
    </w:p>
    <w:p w14:paraId="177071B8">
      <w:pPr>
        <w:pStyle w:val="12"/>
        <w:jc w:val="center"/>
        <w:rPr>
          <w:rFonts w:hint="eastAsia" w:ascii="方正小标宋_GBK" w:hAnsi="方正小标宋_GBK" w:eastAsia="方正小标宋_GBK" w:cs="方正小标宋_GBK"/>
          <w:sz w:val="72"/>
          <w:szCs w:val="72"/>
        </w:rPr>
      </w:pPr>
    </w:p>
    <w:p w14:paraId="30467285">
      <w:pPr>
        <w:pStyle w:val="12"/>
        <w:jc w:val="center"/>
        <w:rPr>
          <w:rFonts w:hint="eastAsia" w:ascii="方正小标宋_GBK" w:hAnsi="方正小标宋_GBK" w:eastAsia="方正小标宋_GBK" w:cs="方正小标宋_GBK"/>
          <w:sz w:val="72"/>
          <w:szCs w:val="72"/>
        </w:rPr>
      </w:pPr>
    </w:p>
    <w:p w14:paraId="77863434">
      <w:pPr>
        <w:pStyle w:val="12"/>
        <w:jc w:val="center"/>
        <w:rPr>
          <w:rFonts w:hint="eastAsia" w:ascii="方正小标宋_GBK" w:hAnsi="方正小标宋_GBK" w:eastAsia="方正小标宋_GBK" w:cs="方正小标宋_GBK"/>
          <w:sz w:val="72"/>
          <w:szCs w:val="72"/>
        </w:rPr>
      </w:pPr>
    </w:p>
    <w:p w14:paraId="77F6152E">
      <w:pPr>
        <w:pStyle w:val="12"/>
        <w:jc w:val="center"/>
        <w:rPr>
          <w:rFonts w:hint="eastAsia" w:ascii="方正小标宋_GBK" w:hAnsi="方正小标宋_GBK" w:eastAsia="方正小标宋_GBK" w:cs="方正小标宋_GBK"/>
          <w:sz w:val="72"/>
          <w:szCs w:val="72"/>
        </w:rPr>
      </w:pPr>
    </w:p>
    <w:p w14:paraId="3D2EECEC">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D06AEC9">
      <w:pPr>
        <w:jc w:val="center"/>
        <w:rPr>
          <w:rFonts w:hint="eastAsia" w:ascii="方正小标宋_GBK" w:hAnsi="方正小标宋_GBK" w:eastAsia="方正小标宋_GBK" w:cs="方正小标宋_GBK"/>
          <w:color w:val="000000"/>
          <w:kern w:val="0"/>
          <w:sz w:val="70"/>
          <w:szCs w:val="70"/>
        </w:rPr>
      </w:pPr>
    </w:p>
    <w:p w14:paraId="73F5AD3D">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1FF7DD80">
      <w:pPr>
        <w:pStyle w:val="2"/>
      </w:pPr>
    </w:p>
    <w:p w14:paraId="02675781">
      <w:pPr>
        <w:pStyle w:val="3"/>
      </w:pPr>
    </w:p>
    <w:p w14:paraId="23C6F816"/>
    <w:p w14:paraId="52B9FDA7">
      <w:pPr>
        <w:pStyle w:val="2"/>
      </w:pPr>
    </w:p>
    <w:p w14:paraId="2F84C061">
      <w:pPr>
        <w:pStyle w:val="3"/>
      </w:pPr>
    </w:p>
    <w:p w14:paraId="5D2EDB24"/>
    <w:p w14:paraId="19BC7E0B">
      <w:pPr>
        <w:pStyle w:val="2"/>
      </w:pPr>
    </w:p>
    <w:p w14:paraId="59B42221">
      <w:pPr>
        <w:pStyle w:val="3"/>
      </w:pPr>
    </w:p>
    <w:p w14:paraId="7324672D"/>
    <w:p w14:paraId="73DB7216">
      <w:pPr>
        <w:pStyle w:val="2"/>
      </w:pPr>
    </w:p>
    <w:p w14:paraId="3D720911">
      <w:pPr>
        <w:pStyle w:val="3"/>
      </w:pPr>
    </w:p>
    <w:p w14:paraId="05A8D631"/>
    <w:p w14:paraId="05B75C36">
      <w:pPr>
        <w:pStyle w:val="2"/>
      </w:pPr>
    </w:p>
    <w:p w14:paraId="2719FE55">
      <w:pPr>
        <w:pStyle w:val="3"/>
      </w:pPr>
    </w:p>
    <w:p w14:paraId="0E0E2B43"/>
    <w:p w14:paraId="4126F444">
      <w:pPr>
        <w:pStyle w:val="2"/>
      </w:pPr>
    </w:p>
    <w:p w14:paraId="4D46DB4E">
      <w:pPr>
        <w:ind w:firstLine="640" w:firstLineChars="200"/>
        <w:jc w:val="left"/>
        <w:rPr>
          <w:rFonts w:hint="eastAsia" w:ascii="仿宋_GB2312" w:hAnsi="仿宋_GB2312" w:eastAsia="仿宋_GB2312" w:cs="仿宋_GB2312"/>
          <w:color w:val="000000"/>
          <w:kern w:val="0"/>
          <w:sz w:val="32"/>
          <w:szCs w:val="32"/>
        </w:rPr>
      </w:pPr>
    </w:p>
    <w:p w14:paraId="3EEE2F4F">
      <w:pPr>
        <w:ind w:firstLine="640" w:firstLineChars="200"/>
        <w:jc w:val="left"/>
        <w:rPr>
          <w:rFonts w:hint="eastAsia" w:ascii="仿宋_GB2312" w:hAnsi="仿宋_GB2312" w:eastAsia="仿宋_GB2312" w:cs="仿宋_GB2312"/>
          <w:color w:val="000000"/>
          <w:kern w:val="0"/>
          <w:sz w:val="32"/>
          <w:szCs w:val="32"/>
        </w:rPr>
      </w:pPr>
    </w:p>
    <w:p w14:paraId="7D937F91">
      <w:pPr>
        <w:ind w:firstLine="640" w:firstLineChars="200"/>
        <w:jc w:val="left"/>
        <w:rPr>
          <w:rFonts w:hint="eastAsia" w:ascii="仿宋_GB2312" w:hAnsi="仿宋_GB2312" w:eastAsia="仿宋_GB2312" w:cs="仿宋_GB2312"/>
          <w:color w:val="000000"/>
          <w:kern w:val="0"/>
          <w:sz w:val="32"/>
          <w:szCs w:val="32"/>
        </w:rPr>
      </w:pPr>
    </w:p>
    <w:p w14:paraId="31E24A94">
      <w:pPr>
        <w:pStyle w:val="2"/>
        <w:rPr>
          <w:rFonts w:hint="eastAsia"/>
        </w:rPr>
      </w:pPr>
    </w:p>
    <w:p w14:paraId="6AEBBBCC">
      <w:pP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br w:type="page"/>
      </w:r>
    </w:p>
    <w:p w14:paraId="753CB6B1">
      <w:pPr>
        <w:pStyle w:val="2"/>
        <w:rPr>
          <w:rFonts w:hint="eastAsia"/>
        </w:rPr>
      </w:pPr>
    </w:p>
    <w:p w14:paraId="1DB4FECB">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财政拨款收入：指本级财政当年拨付的资金。</w:t>
      </w:r>
    </w:p>
    <w:p w14:paraId="237DB69D">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其他收入：指除上述“财政拨款收入”、“上级补助收入”、“事业收入”、“经营收入”、“附属单位上缴收入”等以外的收入。</w:t>
      </w:r>
    </w:p>
    <w:p w14:paraId="2A530B92">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使用非财政拨款结余：指事业单位在当年的“财政拨款收入”、“财政拨款结转和结余资金”、“上级补助收入”、“事业收入”、“经营收入”、“附属单位上缴收入”、“其他收入”不足以安排当年支出情况下，使用以前年度积累的使用非财政拨款结余弥补收支差额的资金（事业单位当年收支相抵后按国家规定提取、用于弥补以后年度收支差额的非财政拨款结余）。</w:t>
      </w:r>
    </w:p>
    <w:p w14:paraId="0B02561C">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5147E871">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城乡社区支出（类）：是指用于城乡社区事务支出，包括保障机构正常运转、完成日常和特定的工作任务或事业发展目标的支出。</w:t>
      </w:r>
    </w:p>
    <w:p w14:paraId="25B023FF">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住房保障支出（类）：是指用于住房方面的支出，包括保障机构正常运转、完成日常和特定的工作任务或事业发展目标的支出。</w:t>
      </w:r>
    </w:p>
    <w:p w14:paraId="33D49DA9">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基本支出：指保障机构正常运转、完成支日常工作任务而发生的人员支出和公用支出。</w:t>
      </w:r>
    </w:p>
    <w:p w14:paraId="713C92C9">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项目支出：指在基本支出之外为完成特定行政任务和事业发展目标所发生的支出。</w:t>
      </w:r>
    </w:p>
    <w:p w14:paraId="0A71C90B">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89A74DC">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195DD82">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工资福利支出：反映单位开支的在职职工和编制外长期聘用人员的各类劳动报酬，以及为上述人员缴纳的各项社会保险费等。</w:t>
      </w:r>
    </w:p>
    <w:p w14:paraId="05E03FF9">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基本工资：</w:t>
      </w:r>
      <w:r>
        <w:rPr>
          <w:rFonts w:hint="eastAsia" w:ascii="仿宋_GB2312" w:hAnsi="仿宋_GB2312" w:eastAsia="仿宋_GB2312" w:cs="仿宋_GB2312"/>
          <w:b w:val="0"/>
          <w:bCs w:val="0"/>
          <w:i w:val="0"/>
          <w:iCs w:val="0"/>
          <w:color w:val="auto"/>
          <w:kern w:val="0"/>
          <w:sz w:val="32"/>
          <w:szCs w:val="32"/>
          <w:lang w:val="en-US" w:eastAsia="zh-CN" w:bidi="ar-SA"/>
        </w:rPr>
        <w:t>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7E251477">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津贴补贴：</w:t>
      </w:r>
      <w:r>
        <w:rPr>
          <w:rFonts w:hint="eastAsia" w:ascii="仿宋_GB2312" w:hAnsi="仿宋_GB2312" w:eastAsia="仿宋_GB2312" w:cs="仿宋_GB2312"/>
          <w:b w:val="0"/>
          <w:bCs w:val="0"/>
          <w:i w:val="0"/>
          <w:iCs w:val="0"/>
          <w:color w:val="auto"/>
          <w:kern w:val="0"/>
          <w:sz w:val="32"/>
          <w:szCs w:val="32"/>
          <w:lang w:val="en-US" w:eastAsia="zh-CN" w:bidi="ar-SA"/>
        </w:rPr>
        <w:t>反映经国家批准建立的机关事业单位艰苦边远地区津贴、机关工作人员地区附加津贴、机关工作人员岗位津贴、事业单位工作人员特殊岗位津贴补贴等。</w:t>
      </w:r>
    </w:p>
    <w:p w14:paraId="3C028C4F">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奖金：</w:t>
      </w:r>
      <w:r>
        <w:rPr>
          <w:rFonts w:hint="eastAsia" w:ascii="仿宋_GB2312" w:hAnsi="仿宋_GB2312" w:eastAsia="仿宋_GB2312" w:cs="仿宋_GB2312"/>
          <w:b w:val="0"/>
          <w:bCs w:val="0"/>
          <w:i w:val="0"/>
          <w:iCs w:val="0"/>
          <w:color w:val="auto"/>
          <w:kern w:val="0"/>
          <w:sz w:val="32"/>
          <w:szCs w:val="32"/>
          <w:lang w:val="en-US" w:eastAsia="zh-CN" w:bidi="ar-SA"/>
        </w:rPr>
        <w:t>反映机关工作人员年终一次性奖金。</w:t>
      </w:r>
    </w:p>
    <w:p w14:paraId="69BC5368">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伙食补助费：</w:t>
      </w:r>
      <w:r>
        <w:rPr>
          <w:rFonts w:hint="eastAsia" w:ascii="仿宋_GB2312" w:hAnsi="仿宋_GB2312" w:eastAsia="仿宋_GB2312" w:cs="仿宋_GB2312"/>
          <w:b w:val="0"/>
          <w:bCs w:val="0"/>
          <w:i w:val="0"/>
          <w:iCs w:val="0"/>
          <w:color w:val="auto"/>
          <w:kern w:val="0"/>
          <w:sz w:val="32"/>
          <w:szCs w:val="32"/>
          <w:lang w:val="en-US" w:eastAsia="zh-CN" w:bidi="ar-SA"/>
        </w:rPr>
        <w:t>反映单位发给职工的伙食补助费，如误餐补助等。</w:t>
      </w:r>
    </w:p>
    <w:p w14:paraId="411BC329">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绩效工资：</w:t>
      </w:r>
      <w:r>
        <w:rPr>
          <w:rFonts w:hint="eastAsia" w:ascii="仿宋_GB2312" w:hAnsi="仿宋_GB2312" w:eastAsia="仿宋_GB2312" w:cs="仿宋_GB2312"/>
          <w:b w:val="0"/>
          <w:bCs w:val="0"/>
          <w:i w:val="0"/>
          <w:iCs w:val="0"/>
          <w:color w:val="auto"/>
          <w:kern w:val="0"/>
          <w:sz w:val="32"/>
          <w:szCs w:val="32"/>
          <w:lang w:val="en-US" w:eastAsia="zh-CN" w:bidi="ar-SA"/>
        </w:rPr>
        <w:t>反映事业单位工作人员的绩效工资。</w:t>
      </w:r>
    </w:p>
    <w:p w14:paraId="10B5F121">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机关事业单位基本养老保险缴费：</w:t>
      </w:r>
      <w:r>
        <w:rPr>
          <w:rFonts w:hint="eastAsia" w:ascii="仿宋_GB2312" w:hAnsi="仿宋_GB2312" w:eastAsia="仿宋_GB2312" w:cs="仿宋_GB2312"/>
          <w:b w:val="0"/>
          <w:bCs w:val="0"/>
          <w:i w:val="0"/>
          <w:iCs w:val="0"/>
          <w:color w:val="auto"/>
          <w:kern w:val="0"/>
          <w:sz w:val="32"/>
          <w:szCs w:val="32"/>
          <w:lang w:val="en-US" w:eastAsia="zh-CN" w:bidi="ar-SA"/>
        </w:rPr>
        <w:t>反映机关事业单位缴纳的基本养老保险费。由单位代扣的工作人员基本养老保险缴费，不在此科目反映。</w:t>
      </w:r>
    </w:p>
    <w:p w14:paraId="5EABDAD7">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职业年金缴费：</w:t>
      </w:r>
      <w:r>
        <w:rPr>
          <w:rFonts w:hint="eastAsia" w:ascii="仿宋_GB2312" w:hAnsi="仿宋_GB2312" w:eastAsia="仿宋_GB2312" w:cs="仿宋_GB2312"/>
          <w:b w:val="0"/>
          <w:bCs w:val="0"/>
          <w:i w:val="0"/>
          <w:iCs w:val="0"/>
          <w:color w:val="auto"/>
          <w:kern w:val="0"/>
          <w:sz w:val="32"/>
          <w:szCs w:val="32"/>
          <w:lang w:val="en-US" w:eastAsia="zh-CN" w:bidi="ar-SA"/>
        </w:rPr>
        <w:t>反映机关事业单位实际缴纳的职业年金支出。由单位代扣的工作人员职业年金缴费，不在此科目反映。</w:t>
      </w:r>
    </w:p>
    <w:p w14:paraId="4CE692DC">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职工基本医疗保险缴费：</w:t>
      </w:r>
      <w:r>
        <w:rPr>
          <w:rFonts w:hint="eastAsia" w:ascii="仿宋_GB2312" w:hAnsi="仿宋_GB2312" w:eastAsia="仿宋_GB2312" w:cs="仿宋_GB2312"/>
          <w:b w:val="0"/>
          <w:bCs w:val="0"/>
          <w:i w:val="0"/>
          <w:iCs w:val="0"/>
          <w:color w:val="auto"/>
          <w:kern w:val="0"/>
          <w:sz w:val="32"/>
          <w:szCs w:val="32"/>
          <w:lang w:val="en-US" w:eastAsia="zh-CN" w:bidi="ar-SA"/>
        </w:rPr>
        <w:t>反映单位为职工缴纳的基本医疗保险费。</w:t>
      </w:r>
    </w:p>
    <w:p w14:paraId="229E1FD6">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其他社会保障缴费：</w:t>
      </w:r>
      <w:r>
        <w:rPr>
          <w:rFonts w:hint="eastAsia" w:ascii="仿宋_GB2312" w:hAnsi="仿宋_GB2312" w:eastAsia="仿宋_GB2312" w:cs="仿宋_GB2312"/>
          <w:b w:val="0"/>
          <w:bCs w:val="0"/>
          <w:i w:val="0"/>
          <w:iCs w:val="0"/>
          <w:color w:val="auto"/>
          <w:kern w:val="0"/>
          <w:sz w:val="32"/>
          <w:szCs w:val="32"/>
          <w:lang w:val="en-US" w:eastAsia="zh-CN" w:bidi="ar-SA"/>
        </w:rPr>
        <w:t>反映单位为职工缴纳的基本医疗、失业、工伤、生育等社会保险费，残疾人就业保障金，军队（含武警）为军人缴纳的伤亡、退役医疗等社会保险费。</w:t>
      </w:r>
    </w:p>
    <w:p w14:paraId="1571855A">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color w:val="auto"/>
          <w:kern w:val="0"/>
          <w:sz w:val="28"/>
          <w:szCs w:val="28"/>
          <w:lang w:val="en-US" w:eastAsia="zh-CN" w:bidi="ar-SA"/>
        </w:rPr>
        <w:t>住房公积金：</w:t>
      </w:r>
      <w:r>
        <w:rPr>
          <w:rFonts w:hint="eastAsia" w:ascii="仿宋_GB2312" w:hAnsi="仿宋_GB2312" w:eastAsia="仿宋_GB2312" w:cs="仿宋_GB2312"/>
          <w:b w:val="0"/>
          <w:bCs w:val="0"/>
          <w:i w:val="0"/>
          <w:iCs w:val="0"/>
          <w:color w:val="auto"/>
          <w:kern w:val="0"/>
          <w:sz w:val="32"/>
          <w:szCs w:val="32"/>
          <w:lang w:val="en-US" w:eastAsia="zh-CN" w:bidi="ar-SA"/>
        </w:rPr>
        <w:t>反映行政事业单位按人力资源和社会保障部、财政部规定的基本工资和津贴补贴以及规定比例为职工缴纳的住房公积金。医疗费：反映未参加医疗保险单位的医疗经费和单位按规定为职工支出的其他医疗费用。商品和服务支出：反映单位购买商品和服务的支出（不包括用于购置固定资产的支出、战略性和应急储备支出）。办公费：反映单位购买按财务会计制度规定不符合固定资产确认标准的日常办公用品、书报杂志等支出。</w:t>
      </w:r>
    </w:p>
    <w:p w14:paraId="4CE403CD">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印刷费：反映单位的印刷费支出。</w:t>
      </w:r>
    </w:p>
    <w:p w14:paraId="1DA7FFAF">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咨询费：反映单位咨询方面的支出。</w:t>
      </w:r>
    </w:p>
    <w:p w14:paraId="613F540D">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水费：反映单位支付的水费、污水处理费等支出。</w:t>
      </w:r>
    </w:p>
    <w:p w14:paraId="3FA80CB1">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电费：反映单位的电费支出。邮电费：反映单位开支的信函、包裹、货物等物品的邮寄费及电话费、电报费、传真费、网络通讯费等。</w:t>
      </w:r>
    </w:p>
    <w:p w14:paraId="69AEE6A6">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物业管理费：反映单位开支的办公用房以及未实行职工住宅物业服务改革的在职职工和离退休人员宿舍等的物业管理费，包括综合治理、绿化、卫生等方面的支出。</w:t>
      </w:r>
    </w:p>
    <w:p w14:paraId="7CA8A1B7">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差旅费：反映单位工作人员出差发生的城市间交通费、住宿费、伙食补贴费和市内交通费。</w:t>
      </w:r>
    </w:p>
    <w:p w14:paraId="43A3156A">
      <w:pPr>
        <w:widowControl w:val="0"/>
        <w:numPr>
          <w:ilvl w:val="0"/>
          <w:numId w:val="4"/>
        </w:numPr>
        <w:autoSpaceDE w:val="0"/>
        <w:autoSpaceDN w:val="0"/>
        <w:adjustRightInd w:val="0"/>
        <w:ind w:left="0" w:leftChars="0" w:firstLine="420" w:firstLineChars="0"/>
        <w:jc w:val="left"/>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val="0"/>
          <w:bCs w:val="0"/>
          <w:i w:val="0"/>
          <w:iCs w:val="0"/>
          <w:color w:val="auto"/>
          <w:kern w:val="0"/>
          <w:sz w:val="32"/>
          <w:szCs w:val="32"/>
          <w:lang w:val="en-US" w:eastAsia="zh-CN" w:bidi="ar-SA"/>
        </w:rPr>
        <w:t>维修(护)费：反映单位日常开支的固定资产（不包括车船等交通工具）修理和维护费用，网络信息系统运行与维护费用，以及按规定提取的修购基金。培训费：反映除因公出国（境）培训费以外的各类培训支出。</w:t>
      </w:r>
    </w:p>
    <w:p w14:paraId="6D39A765">
      <w:pPr>
        <w:pStyle w:val="12"/>
        <w:jc w:val="both"/>
        <w:rPr>
          <w:rFonts w:hint="eastAsia" w:ascii="方正小标宋_GBK" w:hAnsi="方正小标宋_GBK" w:eastAsia="方正小标宋_GBK" w:cs="方正小标宋_GBK"/>
          <w:sz w:val="72"/>
          <w:szCs w:val="72"/>
        </w:rPr>
      </w:pPr>
      <w:bookmarkStart w:id="0" w:name="_GoBack"/>
      <w:bookmarkEnd w:id="0"/>
    </w:p>
    <w:p w14:paraId="2D58F757">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E9A681E">
      <w:pPr>
        <w:pStyle w:val="12"/>
        <w:jc w:val="both"/>
        <w:rPr>
          <w:rFonts w:hint="eastAsia" w:ascii="方正小标宋_GBK" w:hAnsi="方正小标宋_GBK" w:eastAsia="方正小标宋_GBK" w:cs="方正小标宋_GBK"/>
          <w:sz w:val="70"/>
          <w:szCs w:val="70"/>
          <w:lang w:eastAsia="zh-CN"/>
        </w:rPr>
      </w:pPr>
    </w:p>
    <w:p w14:paraId="4E01E228">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1633A198">
      <w:pPr>
        <w:ind w:firstLine="640" w:firstLineChars="200"/>
        <w:jc w:val="left"/>
        <w:rPr>
          <w:rFonts w:hint="eastAsia" w:ascii="宋体" w:hAnsi="宋体" w:eastAsia="宋体" w:cs="黑体"/>
          <w:b/>
          <w:color w:val="000000"/>
          <w:kern w:val="0"/>
          <w:sz w:val="32"/>
          <w:szCs w:val="32"/>
          <w:lang w:val="en-US" w:eastAsia="zh-CN"/>
        </w:rPr>
      </w:pPr>
    </w:p>
    <w:p w14:paraId="2032C58B">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3E4F98A9">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1C472227"/>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ACBB05C9"/>
    <w:multiLevelType w:val="singleLevel"/>
    <w:tmpl w:val="ACBB05C9"/>
    <w:lvl w:ilvl="0" w:tentative="0">
      <w:start w:val="1"/>
      <w:numFmt w:val="decimal"/>
      <w:suff w:val="nothing"/>
      <w:lvlText w:val="%1、"/>
      <w:lvlJc w:val="left"/>
    </w:lvl>
  </w:abstractNum>
  <w:abstractNum w:abstractNumId="2">
    <w:nsid w:val="0B98D4F1"/>
    <w:multiLevelType w:val="singleLevel"/>
    <w:tmpl w:val="0B98D4F1"/>
    <w:lvl w:ilvl="0" w:tentative="0">
      <w:start w:val="1"/>
      <w:numFmt w:val="chineseCounting"/>
      <w:suff w:val="nothing"/>
      <w:lvlText w:val="%1、"/>
      <w:lvlJc w:val="left"/>
      <w:pPr>
        <w:ind w:left="0" w:firstLine="420"/>
      </w:pPr>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887BE8"/>
    <w:rsid w:val="03B84B54"/>
    <w:rsid w:val="04BC5D9C"/>
    <w:rsid w:val="059958AD"/>
    <w:rsid w:val="06C857E7"/>
    <w:rsid w:val="08C24A73"/>
    <w:rsid w:val="08C97472"/>
    <w:rsid w:val="09C14712"/>
    <w:rsid w:val="09F935EE"/>
    <w:rsid w:val="0C5E3BDC"/>
    <w:rsid w:val="0E7F2EFE"/>
    <w:rsid w:val="0EAC6ECE"/>
    <w:rsid w:val="10150A56"/>
    <w:rsid w:val="10EF574B"/>
    <w:rsid w:val="11944E2C"/>
    <w:rsid w:val="11EF7E25"/>
    <w:rsid w:val="12583BA5"/>
    <w:rsid w:val="13116EE4"/>
    <w:rsid w:val="13BA5B9C"/>
    <w:rsid w:val="160E21CF"/>
    <w:rsid w:val="17563165"/>
    <w:rsid w:val="1890511D"/>
    <w:rsid w:val="1B811695"/>
    <w:rsid w:val="1C026332"/>
    <w:rsid w:val="1D97DEFF"/>
    <w:rsid w:val="1DFF72E5"/>
    <w:rsid w:val="1E1C7453"/>
    <w:rsid w:val="1EE619DD"/>
    <w:rsid w:val="1EFC6F07"/>
    <w:rsid w:val="1F0527A6"/>
    <w:rsid w:val="1F7E03C6"/>
    <w:rsid w:val="207B2B57"/>
    <w:rsid w:val="209E04B6"/>
    <w:rsid w:val="22AC03C2"/>
    <w:rsid w:val="23A128D5"/>
    <w:rsid w:val="2661459D"/>
    <w:rsid w:val="26A526DC"/>
    <w:rsid w:val="283B15FE"/>
    <w:rsid w:val="28A21209"/>
    <w:rsid w:val="2A2B2EF8"/>
    <w:rsid w:val="2AB23619"/>
    <w:rsid w:val="2C526E62"/>
    <w:rsid w:val="2CCC3583"/>
    <w:rsid w:val="2F126434"/>
    <w:rsid w:val="2FDF85B8"/>
    <w:rsid w:val="2FFFEE04"/>
    <w:rsid w:val="30BC721A"/>
    <w:rsid w:val="31215055"/>
    <w:rsid w:val="31C95635"/>
    <w:rsid w:val="331F55C4"/>
    <w:rsid w:val="34B955A4"/>
    <w:rsid w:val="34DF85B0"/>
    <w:rsid w:val="3B8F36BC"/>
    <w:rsid w:val="3D2F4655"/>
    <w:rsid w:val="43A915E7"/>
    <w:rsid w:val="43EB5BA5"/>
    <w:rsid w:val="46343303"/>
    <w:rsid w:val="47723ABC"/>
    <w:rsid w:val="491FF225"/>
    <w:rsid w:val="498E6BA8"/>
    <w:rsid w:val="4C6562E6"/>
    <w:rsid w:val="4EC310A1"/>
    <w:rsid w:val="4F9A62A6"/>
    <w:rsid w:val="4FFD214C"/>
    <w:rsid w:val="50A05B3E"/>
    <w:rsid w:val="52295EFF"/>
    <w:rsid w:val="5352765A"/>
    <w:rsid w:val="53AC65A8"/>
    <w:rsid w:val="53C25DCC"/>
    <w:rsid w:val="53EB5322"/>
    <w:rsid w:val="555B2034"/>
    <w:rsid w:val="574014E1"/>
    <w:rsid w:val="5777D4F5"/>
    <w:rsid w:val="57EBA9D6"/>
    <w:rsid w:val="57F22B6F"/>
    <w:rsid w:val="58ED7447"/>
    <w:rsid w:val="59605E6B"/>
    <w:rsid w:val="597436C4"/>
    <w:rsid w:val="59DD8326"/>
    <w:rsid w:val="5A1D1FAE"/>
    <w:rsid w:val="5A867B53"/>
    <w:rsid w:val="5DEF592A"/>
    <w:rsid w:val="5FC6BB1E"/>
    <w:rsid w:val="5FF720F1"/>
    <w:rsid w:val="60196F90"/>
    <w:rsid w:val="60AC7BE7"/>
    <w:rsid w:val="622964C1"/>
    <w:rsid w:val="640F0BB9"/>
    <w:rsid w:val="64A137DB"/>
    <w:rsid w:val="67051329"/>
    <w:rsid w:val="67FF5C0B"/>
    <w:rsid w:val="6B8C0D41"/>
    <w:rsid w:val="6BAA4A2F"/>
    <w:rsid w:val="6D1F1741"/>
    <w:rsid w:val="6DDEC5C0"/>
    <w:rsid w:val="6E2E60E0"/>
    <w:rsid w:val="6E711527"/>
    <w:rsid w:val="6EBA3C2A"/>
    <w:rsid w:val="6EFC0924"/>
    <w:rsid w:val="6F9E8580"/>
    <w:rsid w:val="6FA17EB3"/>
    <w:rsid w:val="6FB74722"/>
    <w:rsid w:val="6FEF8B7E"/>
    <w:rsid w:val="71500A63"/>
    <w:rsid w:val="717FE77F"/>
    <w:rsid w:val="71A6591B"/>
    <w:rsid w:val="72B03567"/>
    <w:rsid w:val="737D59BA"/>
    <w:rsid w:val="737F32B1"/>
    <w:rsid w:val="73AD3F4B"/>
    <w:rsid w:val="73BD3FCA"/>
    <w:rsid w:val="76137B3C"/>
    <w:rsid w:val="76B33626"/>
    <w:rsid w:val="77642B72"/>
    <w:rsid w:val="776BDA01"/>
    <w:rsid w:val="77C37683"/>
    <w:rsid w:val="79766B8D"/>
    <w:rsid w:val="79C478F8"/>
    <w:rsid w:val="79FF515B"/>
    <w:rsid w:val="7A8F43AA"/>
    <w:rsid w:val="7C9C2DAE"/>
    <w:rsid w:val="7D782ED3"/>
    <w:rsid w:val="7DDF73F6"/>
    <w:rsid w:val="7DE22A43"/>
    <w:rsid w:val="7DFBFF20"/>
    <w:rsid w:val="7E9E1962"/>
    <w:rsid w:val="7E9F11B4"/>
    <w:rsid w:val="7EF75FC5"/>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8178</Words>
  <Characters>8766</Characters>
  <Lines>63</Lines>
  <Paragraphs>18</Paragraphs>
  <TotalTime>277</TotalTime>
  <ScaleCrop>false</ScaleCrop>
  <LinksUpToDate>false</LinksUpToDate>
  <CharactersWithSpaces>8788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2026-10-10T08:02:55Z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