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2E345">
      <w:pPr>
        <w:pStyle w:val="12"/>
        <w:jc w:val="center"/>
        <w:rPr>
          <w:sz w:val="56"/>
          <w:szCs w:val="56"/>
        </w:rPr>
      </w:pPr>
    </w:p>
    <w:p w14:paraId="0CB636DB">
      <w:pPr>
        <w:pStyle w:val="12"/>
        <w:jc w:val="center"/>
        <w:rPr>
          <w:sz w:val="56"/>
          <w:szCs w:val="56"/>
        </w:rPr>
      </w:pPr>
    </w:p>
    <w:p w14:paraId="60DBCE62">
      <w:pPr>
        <w:pStyle w:val="12"/>
        <w:jc w:val="center"/>
        <w:rPr>
          <w:sz w:val="84"/>
          <w:szCs w:val="84"/>
        </w:rPr>
      </w:pPr>
    </w:p>
    <w:p w14:paraId="72547BBC">
      <w:pPr>
        <w:pStyle w:val="12"/>
        <w:jc w:val="center"/>
        <w:rPr>
          <w:sz w:val="84"/>
          <w:szCs w:val="84"/>
        </w:rPr>
      </w:pPr>
    </w:p>
    <w:p w14:paraId="230C6B59">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lang w:eastAsia="zh-CN"/>
        </w:rPr>
        <w:t>2025年</w:t>
      </w:r>
      <w:r>
        <w:rPr>
          <w:rFonts w:hint="eastAsia" w:ascii="方正小标宋_GBK" w:hAnsi="方正小标宋_GBK" w:eastAsia="方正小标宋_GBK" w:cs="方正小标宋_GBK"/>
          <w:sz w:val="84"/>
          <w:szCs w:val="84"/>
        </w:rPr>
        <w:t>度</w:t>
      </w:r>
    </w:p>
    <w:p w14:paraId="65687B13">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岳阳市城市管理综合行政执法支队部门决算</w:t>
      </w:r>
    </w:p>
    <w:p w14:paraId="66CC27FF">
      <w:pPr>
        <w:pStyle w:val="12"/>
        <w:jc w:val="center"/>
        <w:rPr>
          <w:rFonts w:hint="eastAsia" w:ascii="方正小标宋_GBK" w:hAnsi="方正小标宋_GBK" w:eastAsia="方正小标宋_GBK" w:cs="方正小标宋_GBK"/>
          <w:sz w:val="56"/>
          <w:szCs w:val="56"/>
        </w:rPr>
      </w:pPr>
    </w:p>
    <w:p w14:paraId="7BCE055F">
      <w:pPr>
        <w:pStyle w:val="12"/>
        <w:jc w:val="center"/>
        <w:rPr>
          <w:sz w:val="56"/>
          <w:szCs w:val="56"/>
        </w:rPr>
      </w:pPr>
    </w:p>
    <w:p w14:paraId="63E57252">
      <w:pPr>
        <w:pStyle w:val="12"/>
        <w:jc w:val="center"/>
        <w:rPr>
          <w:sz w:val="56"/>
          <w:szCs w:val="56"/>
        </w:rPr>
      </w:pPr>
    </w:p>
    <w:p w14:paraId="43FC5AC6">
      <w:pPr>
        <w:pStyle w:val="12"/>
        <w:jc w:val="center"/>
        <w:rPr>
          <w:sz w:val="56"/>
          <w:szCs w:val="56"/>
        </w:rPr>
      </w:pPr>
    </w:p>
    <w:p w14:paraId="117AECDC">
      <w:pPr>
        <w:pStyle w:val="12"/>
        <w:jc w:val="center"/>
        <w:rPr>
          <w:sz w:val="32"/>
          <w:szCs w:val="32"/>
        </w:rPr>
      </w:pPr>
    </w:p>
    <w:p w14:paraId="73FFA9B0">
      <w:pPr>
        <w:pStyle w:val="12"/>
        <w:jc w:val="center"/>
        <w:rPr>
          <w:sz w:val="32"/>
          <w:szCs w:val="32"/>
        </w:rPr>
      </w:pPr>
    </w:p>
    <w:p w14:paraId="5AD5BFEE">
      <w:pPr>
        <w:pStyle w:val="12"/>
        <w:jc w:val="center"/>
        <w:rPr>
          <w:sz w:val="32"/>
          <w:szCs w:val="32"/>
        </w:rPr>
      </w:pPr>
    </w:p>
    <w:p w14:paraId="2959654D">
      <w:pPr>
        <w:pStyle w:val="12"/>
        <w:spacing w:line="500" w:lineRule="exact"/>
        <w:jc w:val="both"/>
        <w:rPr>
          <w:b/>
          <w:sz w:val="36"/>
          <w:szCs w:val="28"/>
        </w:rPr>
      </w:pPr>
    </w:p>
    <w:p w14:paraId="490C0022">
      <w:pPr>
        <w:pStyle w:val="12"/>
        <w:spacing w:line="500" w:lineRule="exact"/>
        <w:jc w:val="center"/>
        <w:rPr>
          <w:b/>
          <w:sz w:val="36"/>
          <w:szCs w:val="28"/>
        </w:rPr>
      </w:pPr>
      <w:r>
        <w:rPr>
          <w:rFonts w:hint="eastAsia"/>
          <w:b/>
          <w:sz w:val="36"/>
          <w:szCs w:val="28"/>
        </w:rPr>
        <w:t>目录</w:t>
      </w:r>
    </w:p>
    <w:p w14:paraId="03E2F8FC">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第一部分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岳阳市城市管理综合行政执法支队概况</w:t>
      </w:r>
    </w:p>
    <w:p w14:paraId="7C1701C3">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一、部门职责</w:t>
      </w:r>
    </w:p>
    <w:p w14:paraId="114E1EC3">
      <w:pPr>
        <w:pStyle w:val="12"/>
        <w:spacing w:line="500" w:lineRule="exact"/>
        <w:ind w:firstLine="700" w:firstLineChars="250"/>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rPr>
        <w:t>二、机构设置</w:t>
      </w:r>
      <w:r>
        <w:rPr>
          <w:rFonts w:hint="eastAsia" w:ascii="仿宋_GB2312" w:hAnsi="仿宋_GB2312" w:eastAsia="仿宋_GB2312" w:cs="仿宋_GB2312"/>
          <w:sz w:val="28"/>
          <w:szCs w:val="28"/>
          <w:lang w:eastAsia="zh-CN"/>
        </w:rPr>
        <w:t>及决算单位构成</w:t>
      </w:r>
    </w:p>
    <w:p w14:paraId="7E87068E">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第二部分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部门决算表</w:t>
      </w:r>
    </w:p>
    <w:p w14:paraId="60B5653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一、收入支出决算总表</w:t>
      </w:r>
    </w:p>
    <w:p w14:paraId="710D1506">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二、收入决算表</w:t>
      </w:r>
    </w:p>
    <w:p w14:paraId="39874DA8">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三、支出决算表</w:t>
      </w:r>
    </w:p>
    <w:p w14:paraId="01811C5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四、财政拨款收入支出决算总表</w:t>
      </w:r>
    </w:p>
    <w:p w14:paraId="4DAB90B9">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五、一般公共预算财政拨款支出决算表</w:t>
      </w:r>
    </w:p>
    <w:p w14:paraId="01A8AB4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六、一般公共预算财政拨款基本支出决算明细表</w:t>
      </w:r>
    </w:p>
    <w:p w14:paraId="300FFBAE">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七、政府性基金预算财政拨款收入支出决算表</w:t>
      </w:r>
    </w:p>
    <w:p w14:paraId="260834B9">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八、国有资本经营预算财政拨款支出决算表</w:t>
      </w:r>
    </w:p>
    <w:p w14:paraId="3D93DBC7">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九、财政拨款“三公”经费支出决算表</w:t>
      </w:r>
    </w:p>
    <w:p w14:paraId="70592DB4">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第三部分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部门决算情况说明</w:t>
      </w:r>
    </w:p>
    <w:p w14:paraId="34E8FD70">
      <w:pPr>
        <w:pStyle w:val="12"/>
        <w:spacing w:line="500" w:lineRule="exact"/>
        <w:ind w:firstLine="700" w:firstLineChars="25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一、收入支出决算总体情况说明</w:t>
      </w:r>
    </w:p>
    <w:p w14:paraId="2608B343">
      <w:pPr>
        <w:spacing w:line="500" w:lineRule="exact"/>
        <w:ind w:firstLine="700" w:firstLineChars="250"/>
        <w:jc w:val="left"/>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二、收入决算情况说明</w:t>
      </w:r>
    </w:p>
    <w:p w14:paraId="4AA83CBB">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三、支出决算情况说明</w:t>
      </w:r>
    </w:p>
    <w:p w14:paraId="2CABCD5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四、财政拨款收入支出决算总体情况说明</w:t>
      </w:r>
    </w:p>
    <w:p w14:paraId="12F1093A">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五、一般公共预算财政拨款支出决算情况说明</w:t>
      </w:r>
    </w:p>
    <w:p w14:paraId="0FC04FDC">
      <w:pPr>
        <w:autoSpaceDE w:val="0"/>
        <w:autoSpaceDN w:val="0"/>
        <w:adjustRightInd w:val="0"/>
        <w:spacing w:line="500" w:lineRule="exact"/>
        <w:ind w:firstLine="700" w:firstLineChars="250"/>
        <w:jc w:val="left"/>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六、一般公共预算财政拨款基本支出决算情况说明</w:t>
      </w:r>
    </w:p>
    <w:p w14:paraId="6BF75E9F">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七、政府性基金预算收入支出决算情况</w:t>
      </w:r>
    </w:p>
    <w:p w14:paraId="7B53CEAD">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highlight w:val="yellow"/>
        </w:rPr>
      </w:pPr>
      <w:r>
        <w:rPr>
          <w:rFonts w:hint="eastAsia" w:ascii="仿宋_GB2312" w:hAnsi="仿宋_GB2312" w:eastAsia="仿宋_GB2312" w:cs="仿宋_GB2312"/>
          <w:color w:val="000000"/>
          <w:kern w:val="0"/>
          <w:sz w:val="28"/>
          <w:szCs w:val="28"/>
          <w:highlight w:val="none"/>
        </w:rPr>
        <w:t>八、</w:t>
      </w:r>
      <w:r>
        <w:rPr>
          <w:rFonts w:hint="eastAsia" w:ascii="仿宋_GB2312" w:hAnsi="仿宋_GB2312" w:eastAsia="仿宋_GB2312" w:cs="仿宋_GB2312"/>
          <w:sz w:val="28"/>
          <w:szCs w:val="28"/>
          <w:highlight w:val="none"/>
        </w:rPr>
        <w:t>国有资本经营预算财政拨款支出决算</w:t>
      </w:r>
      <w:r>
        <w:rPr>
          <w:rFonts w:hint="eastAsia" w:ascii="仿宋_GB2312" w:hAnsi="仿宋_GB2312" w:eastAsia="仿宋_GB2312" w:cs="仿宋_GB2312"/>
          <w:sz w:val="28"/>
          <w:szCs w:val="28"/>
          <w:highlight w:val="none"/>
          <w:lang w:eastAsia="zh-CN"/>
        </w:rPr>
        <w:t>情况</w:t>
      </w:r>
    </w:p>
    <w:p w14:paraId="5F5D7143">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lang w:eastAsia="zh-CN"/>
        </w:rPr>
      </w:pPr>
      <w:r>
        <w:rPr>
          <w:rFonts w:hint="eastAsia" w:ascii="仿宋_GB2312" w:hAnsi="仿宋_GB2312" w:eastAsia="仿宋_GB2312" w:cs="仿宋_GB2312"/>
          <w:color w:val="000000"/>
          <w:kern w:val="0"/>
          <w:sz w:val="28"/>
          <w:szCs w:val="28"/>
        </w:rPr>
        <w:t>九、财政拨款三公经费支出决算情况说明</w:t>
      </w:r>
    </w:p>
    <w:p w14:paraId="09AD536E">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十、关于机关运行经费支出说明</w:t>
      </w:r>
    </w:p>
    <w:p w14:paraId="4DDC12B2">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rPr>
        <w:t>十一、一般性支出情况说明</w:t>
      </w:r>
    </w:p>
    <w:p w14:paraId="18E607B0">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jc w:val="left"/>
        <w:textAlignment w:val="auto"/>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sz w:val="28"/>
          <w:szCs w:val="28"/>
        </w:rPr>
        <w:t>十二、</w:t>
      </w:r>
      <w:r>
        <w:rPr>
          <w:rFonts w:hint="eastAsia" w:ascii="仿宋_GB2312" w:hAnsi="仿宋_GB2312" w:eastAsia="仿宋_GB2312" w:cs="仿宋_GB2312"/>
          <w:color w:val="000000"/>
          <w:kern w:val="0"/>
          <w:sz w:val="28"/>
          <w:szCs w:val="28"/>
        </w:rPr>
        <w:t>关于政府采购支出说明</w:t>
      </w:r>
    </w:p>
    <w:p w14:paraId="5A1E48D9">
      <w:pPr>
        <w:keepNext w:val="0"/>
        <w:keepLines w:val="0"/>
        <w:pageBreakBefore w:val="0"/>
        <w:widowControl w:val="0"/>
        <w:kinsoku/>
        <w:wordWrap/>
        <w:overflowPunct/>
        <w:topLinePunct w:val="0"/>
        <w:autoSpaceDE w:val="0"/>
        <w:autoSpaceDN w:val="0"/>
        <w:bidi w:val="0"/>
        <w:adjustRightInd w:val="0"/>
        <w:snapToGrid/>
        <w:spacing w:line="480" w:lineRule="exact"/>
        <w:ind w:firstLine="700" w:firstLineChars="250"/>
        <w:textAlignment w:val="auto"/>
        <w:rPr>
          <w:rFonts w:hint="eastAsia" w:ascii="仿宋_GB2312" w:hAnsi="仿宋_GB2312" w:eastAsia="仿宋_GB2312" w:cs="仿宋_GB2312"/>
          <w:color w:val="000000"/>
          <w:kern w:val="0"/>
          <w:sz w:val="28"/>
          <w:szCs w:val="28"/>
          <w:lang w:val="en-US" w:eastAsia="zh-CN" w:bidi="ar-SA"/>
        </w:rPr>
      </w:pPr>
      <w:r>
        <w:rPr>
          <w:rFonts w:hint="eastAsia" w:ascii="仿宋_GB2312" w:hAnsi="仿宋_GB2312" w:eastAsia="仿宋_GB2312" w:cs="仿宋_GB2312"/>
          <w:color w:val="000000"/>
          <w:kern w:val="0"/>
          <w:sz w:val="28"/>
          <w:szCs w:val="28"/>
          <w:lang w:val="en-US" w:eastAsia="zh-CN" w:bidi="ar-SA"/>
        </w:rPr>
        <w:t>十三、关于国有资产占用情况说明</w:t>
      </w:r>
    </w:p>
    <w:p w14:paraId="014FFD09">
      <w:pPr>
        <w:pStyle w:val="12"/>
        <w:spacing w:line="500" w:lineRule="exact"/>
        <w:ind w:firstLine="700" w:firstLineChars="250"/>
        <w:rPr>
          <w:rFonts w:hint="eastAsia" w:ascii="仿宋_GB2312" w:hAnsi="仿宋_GB2312" w:eastAsia="仿宋_GB2312" w:cs="仿宋_GB2312"/>
          <w:sz w:val="28"/>
          <w:szCs w:val="28"/>
          <w:highlight w:val="none"/>
        </w:rPr>
      </w:pPr>
      <w:r>
        <w:rPr>
          <w:rFonts w:hint="eastAsia" w:ascii="仿宋_GB2312" w:hAnsi="仿宋_GB2312" w:eastAsia="仿宋_GB2312" w:cs="仿宋_GB2312"/>
          <w:color w:val="000000"/>
          <w:kern w:val="0"/>
          <w:sz w:val="28"/>
          <w:szCs w:val="28"/>
          <w:highlight w:val="none"/>
          <w:lang w:val="en-US" w:eastAsia="zh-CN" w:bidi="ar-SA"/>
        </w:rPr>
        <w:t>十四、</w:t>
      </w:r>
      <w:r>
        <w:rPr>
          <w:rFonts w:hint="eastAsia" w:ascii="仿宋_GB2312" w:hAnsi="仿宋_GB2312" w:eastAsia="仿宋_GB2312" w:cs="仿宋_GB2312"/>
          <w:sz w:val="28"/>
          <w:szCs w:val="28"/>
          <w:highlight w:val="none"/>
        </w:rPr>
        <w:t>关于</w:t>
      </w:r>
      <w:r>
        <w:rPr>
          <w:rFonts w:hint="eastAsia" w:ascii="Times New Roman" w:hAnsi="Times New Roman" w:eastAsia="仿宋_GB2312" w:cs="Times New Roman"/>
          <w:sz w:val="28"/>
          <w:szCs w:val="28"/>
          <w:highlight w:val="none"/>
          <w:lang w:eastAsia="zh-CN"/>
        </w:rPr>
        <w:t>2025年</w:t>
      </w:r>
      <w:r>
        <w:rPr>
          <w:rFonts w:hint="eastAsia" w:ascii="仿宋_GB2312" w:hAnsi="仿宋_GB2312" w:eastAsia="仿宋_GB2312" w:cs="仿宋_GB2312"/>
          <w:sz w:val="28"/>
          <w:szCs w:val="28"/>
          <w:highlight w:val="none"/>
        </w:rPr>
        <w:t>度</w:t>
      </w:r>
      <w:r>
        <w:rPr>
          <w:rFonts w:hint="eastAsia" w:ascii="仿宋_GB2312" w:hAnsi="仿宋_GB2312" w:eastAsia="仿宋_GB2312" w:cs="仿宋_GB2312"/>
          <w:sz w:val="28"/>
          <w:szCs w:val="28"/>
          <w:highlight w:val="none"/>
          <w:lang w:eastAsia="zh-CN"/>
        </w:rPr>
        <w:t>预算</w:t>
      </w:r>
      <w:r>
        <w:rPr>
          <w:rFonts w:hint="eastAsia" w:ascii="仿宋_GB2312" w:hAnsi="仿宋_GB2312" w:eastAsia="仿宋_GB2312" w:cs="仿宋_GB2312"/>
          <w:sz w:val="28"/>
          <w:szCs w:val="28"/>
          <w:highlight w:val="none"/>
        </w:rPr>
        <w:t>绩效</w:t>
      </w:r>
      <w:r>
        <w:rPr>
          <w:rFonts w:hint="eastAsia" w:ascii="仿宋_GB2312" w:hAnsi="仿宋_GB2312" w:eastAsia="仿宋_GB2312" w:cs="仿宋_GB2312"/>
          <w:sz w:val="28"/>
          <w:szCs w:val="28"/>
          <w:highlight w:val="none"/>
          <w:lang w:eastAsia="zh-CN"/>
        </w:rPr>
        <w:t>管理</w:t>
      </w:r>
      <w:r>
        <w:rPr>
          <w:rFonts w:hint="eastAsia" w:ascii="仿宋_GB2312" w:hAnsi="仿宋_GB2312" w:eastAsia="仿宋_GB2312" w:cs="仿宋_GB2312"/>
          <w:sz w:val="28"/>
          <w:szCs w:val="28"/>
          <w:highlight w:val="none"/>
        </w:rPr>
        <w:t>情况的说明</w:t>
      </w:r>
    </w:p>
    <w:p w14:paraId="5C0EA07B">
      <w:pPr>
        <w:pStyle w:val="12"/>
        <w:spacing w:line="500" w:lineRule="exact"/>
        <w:rPr>
          <w:rFonts w:hint="eastAsia" w:ascii="黑体" w:hAnsi="黑体" w:eastAsia="黑体" w:cs="黑体"/>
          <w:b w:val="0"/>
          <w:bCs/>
          <w:sz w:val="28"/>
          <w:szCs w:val="28"/>
        </w:rPr>
      </w:pPr>
      <w:r>
        <w:rPr>
          <w:rFonts w:hint="eastAsia" w:ascii="黑体" w:hAnsi="黑体" w:eastAsia="黑体" w:cs="黑体"/>
          <w:b w:val="0"/>
          <w:bCs/>
          <w:sz w:val="28"/>
          <w:szCs w:val="28"/>
        </w:rPr>
        <w:t>第四部分</w:t>
      </w:r>
      <w:r>
        <w:rPr>
          <w:rFonts w:hint="eastAsia" w:ascii="黑体" w:hAnsi="黑体" w:eastAsia="黑体" w:cs="黑体"/>
          <w:b w:val="0"/>
          <w:bCs/>
          <w:sz w:val="28"/>
          <w:szCs w:val="28"/>
          <w:lang w:val="en-US" w:eastAsia="zh-CN"/>
        </w:rPr>
        <w:t xml:space="preserve"> </w:t>
      </w:r>
      <w:r>
        <w:rPr>
          <w:rFonts w:hint="eastAsia" w:ascii="黑体" w:hAnsi="黑体" w:eastAsia="黑体" w:cs="黑体"/>
          <w:b w:val="0"/>
          <w:bCs/>
          <w:sz w:val="28"/>
          <w:szCs w:val="28"/>
        </w:rPr>
        <w:t>名词解释</w:t>
      </w:r>
    </w:p>
    <w:p w14:paraId="52B6110F">
      <w:pPr>
        <w:pStyle w:val="12"/>
        <w:spacing w:line="500" w:lineRule="exact"/>
        <w:rPr>
          <w:rFonts w:hint="eastAsia" w:ascii="黑体" w:hAnsi="黑体" w:eastAsia="黑体" w:cs="黑体"/>
          <w:b w:val="0"/>
          <w:bCs/>
          <w:sz w:val="28"/>
          <w:szCs w:val="28"/>
          <w:lang w:eastAsia="zh-CN"/>
        </w:rPr>
      </w:pPr>
      <w:r>
        <w:rPr>
          <w:rFonts w:hint="eastAsia" w:ascii="黑体" w:hAnsi="黑体" w:eastAsia="黑体" w:cs="黑体"/>
          <w:b w:val="0"/>
          <w:bCs/>
          <w:sz w:val="28"/>
          <w:szCs w:val="28"/>
        </w:rPr>
        <w:t>第</w:t>
      </w:r>
      <w:r>
        <w:rPr>
          <w:rFonts w:hint="eastAsia" w:hAnsi="黑体" w:cs="黑体"/>
          <w:b w:val="0"/>
          <w:bCs/>
          <w:sz w:val="28"/>
          <w:szCs w:val="28"/>
          <w:lang w:eastAsia="zh-CN"/>
        </w:rPr>
        <w:t>五</w:t>
      </w:r>
      <w:r>
        <w:rPr>
          <w:rFonts w:hint="eastAsia" w:ascii="黑体" w:hAnsi="黑体" w:eastAsia="黑体" w:cs="黑体"/>
          <w:b w:val="0"/>
          <w:bCs/>
          <w:sz w:val="28"/>
          <w:szCs w:val="28"/>
        </w:rPr>
        <w:t>部分</w:t>
      </w:r>
      <w:r>
        <w:rPr>
          <w:rFonts w:hint="eastAsia" w:ascii="黑体" w:hAnsi="黑体" w:eastAsia="黑体" w:cs="黑体"/>
          <w:b w:val="0"/>
          <w:bCs/>
          <w:sz w:val="28"/>
          <w:szCs w:val="28"/>
          <w:lang w:val="en-US" w:eastAsia="zh-CN"/>
        </w:rPr>
        <w:t xml:space="preserve"> </w:t>
      </w:r>
      <w:r>
        <w:rPr>
          <w:rFonts w:hint="eastAsia" w:hAnsi="黑体" w:cs="黑体"/>
          <w:b w:val="0"/>
          <w:bCs/>
          <w:sz w:val="28"/>
          <w:szCs w:val="28"/>
          <w:lang w:eastAsia="zh-CN"/>
        </w:rPr>
        <w:t>附件</w:t>
      </w:r>
    </w:p>
    <w:p w14:paraId="4B8E30B1">
      <w:pPr>
        <w:pStyle w:val="12"/>
        <w:jc w:val="center"/>
        <w:rPr>
          <w:rFonts w:hint="eastAsia" w:ascii="方正小标宋_GBK" w:hAnsi="方正小标宋_GBK" w:eastAsia="方正小标宋_GBK" w:cs="方正小标宋_GBK"/>
          <w:sz w:val="84"/>
          <w:szCs w:val="84"/>
        </w:rPr>
      </w:pPr>
    </w:p>
    <w:p w14:paraId="4C5D4FA0">
      <w:pPr>
        <w:pStyle w:val="12"/>
        <w:jc w:val="center"/>
        <w:rPr>
          <w:rFonts w:hint="eastAsia" w:ascii="方正小标宋_GBK" w:hAnsi="方正小标宋_GBK" w:eastAsia="方正小标宋_GBK" w:cs="方正小标宋_GBK"/>
          <w:sz w:val="84"/>
          <w:szCs w:val="84"/>
        </w:rPr>
      </w:pPr>
    </w:p>
    <w:p w14:paraId="1E95EC23">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 xml:space="preserve">第一部分 </w:t>
      </w:r>
    </w:p>
    <w:p w14:paraId="71CF3991">
      <w:pPr>
        <w:pStyle w:val="12"/>
        <w:jc w:val="center"/>
        <w:rPr>
          <w:rFonts w:hint="eastAsia" w:ascii="方正小标宋_GBK" w:hAnsi="方正小标宋_GBK" w:eastAsia="方正小标宋_GBK" w:cs="方正小标宋_GBK"/>
          <w:sz w:val="84"/>
          <w:szCs w:val="84"/>
        </w:rPr>
      </w:pPr>
    </w:p>
    <w:p w14:paraId="23074AB8">
      <w:pPr>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岳阳市城市管理综合行政执法支队概况</w:t>
      </w:r>
    </w:p>
    <w:p w14:paraId="35E78A29">
      <w:pPr>
        <w:pStyle w:val="7"/>
        <w:rPr>
          <w:rFonts w:hint="eastAsia" w:ascii="方正小标宋_GBK" w:hAnsi="方正小标宋_GBK" w:eastAsia="方正小标宋_GBK" w:cs="方正小标宋_GBK"/>
          <w:sz w:val="84"/>
          <w:szCs w:val="84"/>
        </w:rPr>
      </w:pPr>
    </w:p>
    <w:p w14:paraId="72540D18">
      <w:pPr>
        <w:rPr>
          <w:rFonts w:hint="eastAsia" w:ascii="方正小标宋_GBK" w:hAnsi="方正小标宋_GBK" w:eastAsia="方正小标宋_GBK" w:cs="方正小标宋_GBK"/>
          <w:sz w:val="36"/>
          <w:szCs w:val="36"/>
        </w:rPr>
      </w:pPr>
    </w:p>
    <w:p w14:paraId="38EE3BF1">
      <w:pPr>
        <w:rPr>
          <w:rFonts w:hint="eastAsia" w:ascii="方正小标宋_GBK" w:hAnsi="方正小标宋_GBK" w:eastAsia="方正小标宋_GBK" w:cs="方正小标宋_GBK"/>
          <w:sz w:val="36"/>
          <w:szCs w:val="36"/>
        </w:rPr>
      </w:pPr>
    </w:p>
    <w:p w14:paraId="2666783D">
      <w:pPr>
        <w:rPr>
          <w:rFonts w:hint="eastAsia" w:ascii="方正小标宋_GBK" w:hAnsi="方正小标宋_GBK" w:eastAsia="方正小标宋_GBK" w:cs="方正小标宋_GBK"/>
          <w:sz w:val="36"/>
          <w:szCs w:val="36"/>
        </w:rPr>
      </w:pPr>
    </w:p>
    <w:p w14:paraId="59BE1F39">
      <w:pPr>
        <w:rPr>
          <w:rFonts w:hint="eastAsia" w:ascii="方正小标宋_GBK" w:hAnsi="方正小标宋_GBK" w:eastAsia="方正小标宋_GBK" w:cs="方正小标宋_GBK"/>
          <w:sz w:val="36"/>
          <w:szCs w:val="36"/>
        </w:rPr>
      </w:pPr>
    </w:p>
    <w:p w14:paraId="5813F73D">
      <w:pPr>
        <w:rPr>
          <w:rFonts w:hint="eastAsia" w:ascii="方正小标宋_GBK" w:hAnsi="方正小标宋_GBK" w:eastAsia="方正小标宋_GBK" w:cs="方正小标宋_GBK"/>
          <w:sz w:val="36"/>
          <w:szCs w:val="36"/>
        </w:rPr>
      </w:pPr>
    </w:p>
    <w:p w14:paraId="67A9CA12">
      <w:pPr>
        <w:rPr>
          <w:rFonts w:hint="eastAsia" w:ascii="方正小标宋_GBK" w:hAnsi="方正小标宋_GBK" w:eastAsia="方正小标宋_GBK" w:cs="方正小标宋_GBK"/>
          <w:sz w:val="36"/>
          <w:szCs w:val="36"/>
        </w:rPr>
      </w:pPr>
    </w:p>
    <w:p w14:paraId="4E5446F8">
      <w:pPr>
        <w:rPr>
          <w:rFonts w:hint="eastAsia" w:ascii="方正小标宋_GBK" w:hAnsi="方正小标宋_GBK" w:eastAsia="方正小标宋_GBK" w:cs="方正小标宋_GBK"/>
          <w:sz w:val="36"/>
          <w:szCs w:val="36"/>
        </w:rPr>
      </w:pPr>
    </w:p>
    <w:p w14:paraId="0AD62569">
      <w:pPr>
        <w:pStyle w:val="13"/>
        <w:numPr>
          <w:ilvl w:val="0"/>
          <w:numId w:val="1"/>
        </w:numPr>
        <w:ind w:firstLineChars="0"/>
        <w:jc w:val="left"/>
        <w:rPr>
          <w:rFonts w:hint="eastAsia" w:ascii="黑体" w:hAnsi="黑体" w:eastAsia="黑体" w:cs="黑体"/>
          <w:b w:val="0"/>
          <w:bCs w:val="0"/>
          <w:sz w:val="32"/>
          <w:szCs w:val="32"/>
        </w:rPr>
      </w:pPr>
      <w:r>
        <w:rPr>
          <w:rFonts w:hint="eastAsia" w:ascii="黑体" w:hAnsi="黑体" w:eastAsia="黑体" w:cs="黑体"/>
          <w:b w:val="0"/>
          <w:bCs w:val="0"/>
          <w:sz w:val="32"/>
          <w:szCs w:val="32"/>
        </w:rPr>
        <w:t>部门职责</w:t>
      </w:r>
    </w:p>
    <w:p w14:paraId="1EC4E323">
      <w:pPr>
        <w:widowControl/>
        <w:spacing w:line="600" w:lineRule="exact"/>
        <w:ind w:firstLine="640" w:firstLineChars="200"/>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一</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贯彻执行国家、省、市和上级主管部门有关城市管理方面的法律、法规、规章和政策规定;参与拟订城市管理综合行政执法工作方面的规范性文件、总体规划和年度计划，并组织实施。</w:t>
      </w:r>
    </w:p>
    <w:p w14:paraId="4FF2B4BF">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（二）</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市本级和市辖区范围内(含岳阳经济技术开发区和城陵矶新港区)的城市管理综合行政执法工作;协助市城管局对县(市)、南湖新区、屈原管理区城市管理综合行政执法队伍建设和综合行政执法开展指导、监督和考核工作。</w:t>
      </w:r>
    </w:p>
    <w:p w14:paraId="17A9A338">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三</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承担权限范围内市政公用设施运行管理、市容环境卫生管理、园林绿化管理、城镇燃气管理等城市管理方面的行政处罚及相应的行政强制等行政执法工作。</w:t>
      </w:r>
    </w:p>
    <w:p w14:paraId="747227B1">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四</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承担权限范围内住房和城乡建设领域法律、法规和规章规定的行政处罚及相应的行政强制等行政执法工作。</w:t>
      </w:r>
    </w:p>
    <w:p w14:paraId="10FBD9EC">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五</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承担权限范围内向城市河道和水域倾倒废弃物和垃圾、违规取土、城市河道和水域违法建(构)筑物拆除等水利管理方面的行政处罚及相应的行政强制等行政执法工作。</w:t>
      </w:r>
    </w:p>
    <w:p w14:paraId="7503C201">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六</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社会生活噪声污染、建筑施工噪声污染、建筑施工扬尘污染、餐饮服务业油烟污染、露天烧烤污染、城市焚烧沥青塑料垃圾等烟尘和恶臭污染、燃放烟花爆竹污染等生态环境保护管理方面的行政处罚及相应的行政强制等行政执法工作。</w:t>
      </w:r>
    </w:p>
    <w:p w14:paraId="2B481E67">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七</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承担权限范围内户外公共场所无照经营、食品销售和餐饮摊点无证经营，以及户外违法回收贩卖药品等市场监督管理方面的行政处罚及相应的行政强制等行政执法工作。</w:t>
      </w:r>
    </w:p>
    <w:p w14:paraId="189C035C">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八</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承担权限范围内侵占城市道路、违法停放车辆等公安交通管理方面的行政处罚及相应的行政强制等行政执法工作。</w:t>
      </w:r>
    </w:p>
    <w:p w14:paraId="105B5644">
      <w:pPr>
        <w:widowControl/>
        <w:spacing w:line="600" w:lineRule="exact"/>
        <w:ind w:firstLine="640" w:firstLineChars="200"/>
        <w:jc w:val="left"/>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九</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承担《湖南省人民政府关于调整岳阳火车站地区相对集中行政处罚权的批复》(湘政函〔2016〕22号)确定的行政处罚及相应的行政强制等行政执法工作。</w:t>
      </w:r>
    </w:p>
    <w:p w14:paraId="0FD9CBCA">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十</w:t>
      </w:r>
      <w:r>
        <w:rPr>
          <w:rFonts w:hint="eastAsia" w:ascii="Times New Roman" w:hAnsi="Times New Roman" w:eastAsia="仿宋_GB2312" w:cs="仿宋_GB2312"/>
          <w:sz w:val="32"/>
          <w:szCs w:val="32"/>
        </w:rPr>
        <w:t>）</w:t>
      </w:r>
      <w:r>
        <w:rPr>
          <w:rFonts w:hint="eastAsia" w:ascii="仿宋_GB2312" w:hAnsi="仿宋_GB2312" w:eastAsia="仿宋_GB2312" w:cs="仿宋_GB2312"/>
          <w:color w:val="000000" w:themeColor="text1"/>
          <w:kern w:val="0"/>
          <w:sz w:val="32"/>
          <w:szCs w:val="32"/>
          <w:lang w:val="en-US" w:eastAsia="zh-CN"/>
          <w14:textFill>
            <w14:solidFill>
              <w14:schemeClr w14:val="tx1"/>
            </w14:solidFill>
          </w14:textFill>
        </w:rPr>
        <w:t>承担全市城市管理综合行政执法跨区域及重大复杂违法违规案件的</w:t>
      </w:r>
      <w:r>
        <w:rPr>
          <w:rFonts w:hint="eastAsia" w:ascii="Times New Roman" w:hAnsi="Times New Roman" w:eastAsia="仿宋_GB2312" w:cs="仿宋_GB2312"/>
          <w:sz w:val="32"/>
          <w:szCs w:val="32"/>
          <w:lang w:val="en-US" w:eastAsia="zh-CN"/>
        </w:rPr>
        <w:t>查处工作;组织或参与跨行业、跨区域联合执法行动。</w:t>
      </w:r>
    </w:p>
    <w:p w14:paraId="453E42AB">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十一</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承担权限范围内“牛皮癣”的治理和清除;承担权限范围内“门前三包”及燃放烟花爆竹的指导、监督和考核工作。</w:t>
      </w:r>
    </w:p>
    <w:p w14:paraId="1556B1B0">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十二</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承担本单位的安全生产工作。</w:t>
      </w:r>
    </w:p>
    <w:p w14:paraId="43A5AF8A">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十三</w:t>
      </w:r>
      <w:r>
        <w:rPr>
          <w:rFonts w:hint="eastAsia" w:ascii="Times New Roman" w:hAnsi="Times New Roman" w:eastAsia="仿宋_GB2312" w:cs="仿宋_GB2312"/>
          <w:sz w:val="32"/>
          <w:szCs w:val="32"/>
        </w:rPr>
        <w:t>）</w:t>
      </w:r>
      <w:r>
        <w:rPr>
          <w:rFonts w:hint="eastAsia" w:ascii="Times New Roman" w:hAnsi="Times New Roman" w:eastAsia="仿宋_GB2312" w:cs="仿宋_GB2312"/>
          <w:sz w:val="32"/>
          <w:szCs w:val="32"/>
          <w:lang w:val="en-US" w:eastAsia="zh-CN"/>
        </w:rPr>
        <w:t>完成市城管局交办的其他工作。</w:t>
      </w:r>
    </w:p>
    <w:p w14:paraId="1041A5D3">
      <w:pPr>
        <w:widowControl/>
        <w:spacing w:line="600" w:lineRule="exact"/>
        <w:rPr>
          <w:rFonts w:hint="eastAsia" w:ascii="黑体" w:hAnsi="黑体" w:eastAsia="黑体" w:cs="黑体"/>
          <w:b w:val="0"/>
          <w:bCs/>
          <w:kern w:val="0"/>
          <w:sz w:val="32"/>
          <w:szCs w:val="32"/>
        </w:rPr>
      </w:pPr>
      <w:r>
        <w:rPr>
          <w:rFonts w:hint="eastAsia" w:ascii="黑体" w:hAnsi="黑体" w:eastAsia="黑体" w:cs="黑体"/>
          <w:b w:val="0"/>
          <w:bCs/>
          <w:kern w:val="0"/>
          <w:sz w:val="32"/>
          <w:szCs w:val="32"/>
        </w:rPr>
        <w:t>二、机构设置及决算单位构成</w:t>
      </w:r>
    </w:p>
    <w:p w14:paraId="64516539">
      <w:pPr>
        <w:ind w:firstLine="800" w:firstLineChars="250"/>
        <w:jc w:val="left"/>
        <w:rPr>
          <w:rFonts w:hint="eastAsia" w:ascii="Times New Roman" w:hAnsi="Times New Roman" w:eastAsia="仿宋_GB2312" w:cs="仿宋_GB2312"/>
          <w:sz w:val="32"/>
          <w:szCs w:val="32"/>
          <w:lang w:val="en-US" w:eastAsia="zh-CN"/>
        </w:rPr>
      </w:pPr>
      <w:r>
        <w:rPr>
          <w:rFonts w:hint="eastAsia" w:ascii="Times New Roman" w:hAnsi="Times New Roman" w:eastAsia="仿宋_GB2312" w:cs="仿宋_GB2312"/>
          <w:sz w:val="32"/>
          <w:szCs w:val="32"/>
          <w:lang w:val="en-US" w:eastAsia="zh-CN"/>
        </w:rPr>
        <w:t>（一）内设机构设置。</w:t>
      </w:r>
    </w:p>
    <w:p w14:paraId="5E60A72C">
      <w:pPr>
        <w:ind w:firstLine="800" w:firstLineChars="250"/>
        <w:jc w:val="left"/>
        <w:rPr>
          <w:rFonts w:hint="eastAsia" w:ascii="仿宋_GB2312" w:hAnsi="仿宋_GB2312" w:eastAsia="仿宋_GB2312" w:cs="仿宋_GB2312"/>
          <w:color w:val="000000" w:themeColor="text1"/>
          <w:spacing w:val="9"/>
          <w:kern w:val="0"/>
          <w:sz w:val="32"/>
          <w:szCs w:val="32"/>
          <w:lang w:val="en-US" w:eastAsia="zh-CN"/>
          <w14:textFill>
            <w14:solidFill>
              <w14:schemeClr w14:val="tx1"/>
            </w14:solidFill>
          </w14:textFill>
        </w:rPr>
      </w:pPr>
      <w:r>
        <w:rPr>
          <w:rFonts w:hint="eastAsia" w:ascii="仿宋" w:hAnsi="仿宋" w:eastAsia="仿宋" w:cs="仿宋"/>
          <w:sz w:val="32"/>
          <w:szCs w:val="32"/>
          <w:lang w:val="en-US" w:eastAsia="zh-CN"/>
        </w:rPr>
        <w:t>1、</w:t>
      </w:r>
      <w:r>
        <w:rPr>
          <w:rFonts w:hint="eastAsia" w:ascii="Times New Roman" w:hAnsi="Times New Roman" w:eastAsia="仿宋_GB2312" w:cs="仿宋_GB2312"/>
          <w:sz w:val="32"/>
          <w:szCs w:val="32"/>
          <w:lang w:val="en-US" w:eastAsia="zh-CN"/>
        </w:rPr>
        <w:t>岳阳市城市管理综合行政执法支队内设机构包括：综合科、人事科、财务科、法规科、执法协调科。</w:t>
      </w:r>
      <w:r>
        <w:rPr>
          <w:rFonts w:hint="eastAsia" w:ascii="仿宋_GB2312" w:hAnsi="仿宋_GB2312" w:eastAsia="仿宋_GB2312" w:cs="仿宋_GB2312"/>
          <w:color w:val="000000" w:themeColor="text1"/>
          <w:spacing w:val="9"/>
          <w:kern w:val="0"/>
          <w:sz w:val="32"/>
          <w:szCs w:val="32"/>
          <w:lang w:val="en-US" w:eastAsia="zh-CN"/>
          <w14:textFill>
            <w14:solidFill>
              <w14:schemeClr w14:val="tx1"/>
            </w14:solidFill>
          </w14:textFill>
        </w:rPr>
        <w:t>下列8个大队：岳阳市城市管理综合行政执法支队岳阳楼一大队、岳阳市城市管理综合行政执法支队岳阳楼二大队、岳阳市城市管理综合行政执法支队岳阳楼三大队、岳阳市城市管理综合行政执法支队岳阳楼四大队、岳阳市城市管理综合行政执法支队云溪大队、岳阳市城市管理综合行政执法支队君山大队、岳阳市住房建设执法大队、岳阳市站场执法大队。</w:t>
      </w:r>
    </w:p>
    <w:p w14:paraId="7426CDF7">
      <w:pPr>
        <w:ind w:firstLine="845" w:firstLineChars="250"/>
        <w:jc w:val="left"/>
        <w:rPr>
          <w:rFonts w:hint="default" w:ascii="仿宋_GB2312" w:hAnsi="仿宋_GB2312" w:eastAsia="仿宋_GB2312" w:cs="仿宋_GB2312"/>
          <w:color w:val="000000" w:themeColor="text1"/>
          <w:spacing w:val="9"/>
          <w:kern w:val="0"/>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pacing w:val="9"/>
          <w:kern w:val="0"/>
          <w:sz w:val="32"/>
          <w:szCs w:val="32"/>
          <w:lang w:val="en-US" w:eastAsia="zh-CN"/>
          <w14:textFill>
            <w14:solidFill>
              <w14:schemeClr w14:val="tx1"/>
            </w14:solidFill>
          </w14:textFill>
        </w:rPr>
        <w:t>2、</w:t>
      </w:r>
      <w:r>
        <w:rPr>
          <w:rFonts w:hint="eastAsia" w:ascii="仿宋" w:hAnsi="仿宋" w:eastAsia="仿宋"/>
          <w:bCs/>
          <w:kern w:val="0"/>
          <w:sz w:val="32"/>
          <w:szCs w:val="32"/>
          <w:highlight w:val="none"/>
          <w:lang w:val="en-US" w:eastAsia="zh-CN"/>
        </w:rPr>
        <w:t>人员构成：</w:t>
      </w:r>
      <w:r>
        <w:rPr>
          <w:rFonts w:hint="eastAsia" w:ascii="仿宋_GB2312" w:hAnsi="仿宋_GB2312" w:eastAsia="仿宋_GB2312" w:cs="仿宋_GB2312"/>
          <w:color w:val="auto"/>
          <w:spacing w:val="9"/>
          <w:kern w:val="0"/>
          <w:sz w:val="32"/>
          <w:szCs w:val="32"/>
        </w:rPr>
        <w:t>核定编制</w:t>
      </w:r>
      <w:r>
        <w:rPr>
          <w:rFonts w:hint="eastAsia" w:ascii="仿宋_GB2312" w:hAnsi="仿宋_GB2312" w:eastAsia="仿宋_GB2312" w:cs="仿宋_GB2312"/>
          <w:color w:val="auto"/>
          <w:spacing w:val="9"/>
          <w:kern w:val="0"/>
          <w:sz w:val="32"/>
          <w:szCs w:val="32"/>
          <w:lang w:val="en-US" w:eastAsia="zh-CN"/>
        </w:rPr>
        <w:t>316名,</w:t>
      </w:r>
      <w:r>
        <w:rPr>
          <w:rFonts w:hint="eastAsia" w:ascii="仿宋" w:hAnsi="仿宋" w:eastAsia="仿宋"/>
          <w:bCs/>
          <w:kern w:val="0"/>
          <w:sz w:val="32"/>
          <w:szCs w:val="32"/>
          <w:highlight w:val="none"/>
          <w:lang w:val="en-US" w:eastAsia="zh-CN"/>
        </w:rPr>
        <w:t>编制内实有人数</w:t>
      </w:r>
      <w:r>
        <w:rPr>
          <w:rFonts w:hint="eastAsia" w:ascii="仿宋" w:hAnsi="仿宋" w:eastAsia="仿宋"/>
          <w:bCs/>
          <w:color w:val="auto"/>
          <w:kern w:val="0"/>
          <w:sz w:val="32"/>
          <w:szCs w:val="32"/>
          <w:highlight w:val="none"/>
          <w:lang w:val="en-US" w:eastAsia="zh-CN"/>
        </w:rPr>
        <w:t>484</w:t>
      </w:r>
      <w:r>
        <w:rPr>
          <w:rFonts w:hint="eastAsia" w:ascii="仿宋" w:hAnsi="仿宋" w:eastAsia="仿宋"/>
          <w:bCs/>
          <w:kern w:val="0"/>
          <w:sz w:val="32"/>
          <w:szCs w:val="32"/>
          <w:highlight w:val="none"/>
          <w:lang w:val="en-US" w:eastAsia="zh-CN"/>
        </w:rPr>
        <w:t>名，其中参公编制190名、事业编293名、机关和事业工人1名。</w:t>
      </w:r>
    </w:p>
    <w:p w14:paraId="5544C825">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r>
        <w:rPr>
          <w:rFonts w:hint="eastAsia" w:ascii="Times New Roman" w:hAnsi="Times New Roman" w:eastAsia="仿宋_GB2312" w:cs="仿宋_GB2312"/>
          <w:sz w:val="32"/>
          <w:szCs w:val="32"/>
          <w:lang w:val="en-US" w:eastAsia="zh-CN"/>
        </w:rPr>
        <w:t>（二）决算单位构成。</w:t>
      </w:r>
      <w:r>
        <w:rPr>
          <w:rFonts w:hint="eastAsia" w:ascii="Times New Roman" w:hAnsi="Times New Roman" w:eastAsia="仿宋_GB2312" w:cs="仿宋_GB2312"/>
          <w:bCs/>
          <w:color w:val="000000" w:themeColor="text1"/>
          <w:kern w:val="0"/>
          <w:sz w:val="32"/>
          <w:szCs w:val="32"/>
          <w14:textFill>
            <w14:solidFill>
              <w14:schemeClr w14:val="tx1"/>
            </w14:solidFill>
          </w14:textFill>
        </w:rPr>
        <w:t>本</w:t>
      </w:r>
      <w:r>
        <w:rPr>
          <w:rFonts w:hint="eastAsia" w:ascii="仿宋_GB2312" w:hAnsi="仿宋_GB2312" w:eastAsia="仿宋_GB2312" w:cs="仿宋_GB2312"/>
          <w:bCs/>
          <w:color w:val="000000" w:themeColor="text1"/>
          <w:kern w:val="0"/>
          <w:sz w:val="32"/>
          <w:szCs w:val="32"/>
          <w14:textFill>
            <w14:solidFill>
              <w14:schemeClr w14:val="tx1"/>
            </w14:solidFill>
          </w14:textFill>
        </w:rPr>
        <w:t>单位</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有一家</w:t>
      </w:r>
      <w:r>
        <w:rPr>
          <w:rFonts w:hint="eastAsia" w:ascii="仿宋_GB2312" w:hAnsi="仿宋_GB2312" w:eastAsia="仿宋_GB2312" w:cs="仿宋_GB2312"/>
          <w:bCs/>
          <w:color w:val="000000" w:themeColor="text1"/>
          <w:kern w:val="0"/>
          <w:sz w:val="32"/>
          <w:szCs w:val="32"/>
          <w14:textFill>
            <w14:solidFill>
              <w14:schemeClr w14:val="tx1"/>
            </w14:solidFill>
          </w14:textFill>
        </w:rPr>
        <w:t>独立核算的下属单位</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站场执法大队</w:t>
      </w:r>
      <w:r>
        <w:rPr>
          <w:rFonts w:hint="eastAsia" w:ascii="仿宋_GB2312" w:hAnsi="仿宋_GB2312" w:eastAsia="仿宋_GB2312" w:cs="仿宋_GB2312"/>
          <w:bCs/>
          <w:color w:val="000000" w:themeColor="text1"/>
          <w:kern w:val="0"/>
          <w:sz w:val="32"/>
          <w:szCs w:val="32"/>
          <w:lang w:eastAsia="zh-CN"/>
          <w14:textFill>
            <w14:solidFill>
              <w14:schemeClr w14:val="tx1"/>
            </w14:solidFill>
          </w14:textFill>
        </w:rPr>
        <w:t>）</w:t>
      </w:r>
      <w:r>
        <w:rPr>
          <w:rFonts w:hint="eastAsia" w:ascii="仿宋_GB2312" w:hAnsi="仿宋_GB2312" w:eastAsia="仿宋_GB2312" w:cs="仿宋_GB2312"/>
          <w:bCs/>
          <w:color w:val="000000" w:themeColor="text1"/>
          <w:kern w:val="0"/>
          <w:sz w:val="32"/>
          <w:szCs w:val="32"/>
          <w14:textFill>
            <w14:solidFill>
              <w14:schemeClr w14:val="tx1"/>
            </w14:solidFill>
          </w14:textFill>
        </w:rPr>
        <w:t>，纳入202</w:t>
      </w:r>
      <w:r>
        <w:rPr>
          <w:rFonts w:hint="eastAsia" w:ascii="仿宋_GB2312" w:hAnsi="仿宋_GB2312" w:eastAsia="仿宋_GB2312" w:cs="仿宋_GB2312"/>
          <w:bCs/>
          <w:color w:val="000000" w:themeColor="text1"/>
          <w:kern w:val="0"/>
          <w:sz w:val="32"/>
          <w:szCs w:val="32"/>
          <w:lang w:val="en-US" w:eastAsia="zh-CN"/>
          <w14:textFill>
            <w14:solidFill>
              <w14:schemeClr w14:val="tx1"/>
            </w14:solidFill>
          </w14:textFill>
        </w:rPr>
        <w:t>5</w:t>
      </w:r>
      <w:r>
        <w:rPr>
          <w:rFonts w:hint="eastAsia" w:ascii="仿宋_GB2312" w:hAnsi="仿宋_GB2312" w:eastAsia="仿宋_GB2312" w:cs="仿宋_GB2312"/>
          <w:bCs/>
          <w:color w:val="000000" w:themeColor="text1"/>
          <w:kern w:val="0"/>
          <w:sz w:val="32"/>
          <w:szCs w:val="32"/>
          <w14:textFill>
            <w14:solidFill>
              <w14:schemeClr w14:val="tx1"/>
            </w14:solidFill>
          </w14:textFill>
        </w:rPr>
        <w:t>年部门决算汇总公开的只有岳阳市城市管理综合行政执法支队本级决算。</w:t>
      </w:r>
    </w:p>
    <w:p w14:paraId="6DC7477D">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6A5D7FAC">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0632698D">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49094BEA">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02803E1F">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21BD5975">
      <w:pPr>
        <w:widowControl/>
        <w:spacing w:line="600" w:lineRule="exact"/>
        <w:rPr>
          <w:rFonts w:hint="eastAsia" w:ascii="仿宋_GB2312" w:hAnsi="仿宋_GB2312" w:eastAsia="仿宋_GB2312" w:cs="仿宋_GB2312"/>
          <w:bCs/>
          <w:color w:val="000000" w:themeColor="text1"/>
          <w:kern w:val="0"/>
          <w:sz w:val="32"/>
          <w:szCs w:val="32"/>
          <w14:textFill>
            <w14:solidFill>
              <w14:schemeClr w14:val="tx1"/>
            </w14:solidFill>
          </w14:textFill>
        </w:rPr>
      </w:pPr>
    </w:p>
    <w:p w14:paraId="47E62F7C">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第二部分</w:t>
      </w:r>
    </w:p>
    <w:p w14:paraId="3E8E6BA9">
      <w:pPr>
        <w:pStyle w:val="12"/>
        <w:jc w:val="center"/>
        <w:rPr>
          <w:rFonts w:hint="eastAsia" w:ascii="方正小标宋_GBK" w:hAnsi="方正小标宋_GBK" w:eastAsia="方正小标宋_GBK" w:cs="方正小标宋_GBK"/>
          <w:sz w:val="84"/>
          <w:szCs w:val="84"/>
        </w:rPr>
      </w:pPr>
    </w:p>
    <w:p w14:paraId="58615C58">
      <w:pPr>
        <w:pStyle w:val="12"/>
        <w:jc w:val="center"/>
        <w:rPr>
          <w:rFonts w:hint="eastAsia" w:ascii="方正小标宋_GBK" w:hAnsi="方正小标宋_GBK" w:eastAsia="方正小标宋_GBK" w:cs="方正小标宋_GBK"/>
          <w:sz w:val="84"/>
          <w:szCs w:val="84"/>
        </w:rPr>
      </w:pPr>
      <w:r>
        <w:rPr>
          <w:rFonts w:hint="eastAsia" w:ascii="方正小标宋_GBK" w:hAnsi="方正小标宋_GBK" w:eastAsia="方正小标宋_GBK" w:cs="方正小标宋_GBK"/>
          <w:sz w:val="84"/>
          <w:szCs w:val="84"/>
        </w:rPr>
        <w:t>部门决算表</w:t>
      </w:r>
    </w:p>
    <w:p w14:paraId="3F6E8B2F">
      <w:pPr>
        <w:pStyle w:val="12"/>
        <w:jc w:val="center"/>
        <w:rPr>
          <w:rFonts w:hint="eastAsia" w:ascii="仿宋_GB2312" w:hAnsi="仿宋_GB2312" w:eastAsia="仿宋_GB2312" w:cs="仿宋_GB2312"/>
          <w:b w:val="0"/>
          <w:bCs w:val="0"/>
          <w:sz w:val="72"/>
          <w:szCs w:val="72"/>
          <w:lang w:eastAsia="zh-CN"/>
        </w:rPr>
      </w:pPr>
      <w:r>
        <w:rPr>
          <w:rFonts w:hint="eastAsia" w:ascii="仿宋_GB2312" w:hAnsi="仿宋_GB2312" w:eastAsia="仿宋_GB2312" w:cs="仿宋_GB2312"/>
          <w:b w:val="0"/>
          <w:bCs w:val="0"/>
          <w:sz w:val="72"/>
          <w:szCs w:val="72"/>
          <w:lang w:eastAsia="zh-CN"/>
        </w:rPr>
        <w:t>（见附件）</w:t>
      </w:r>
    </w:p>
    <w:p w14:paraId="3DD6EAA2">
      <w:pPr>
        <w:pStyle w:val="12"/>
        <w:jc w:val="center"/>
        <w:rPr>
          <w:rFonts w:hint="eastAsia" w:ascii="仿宋_GB2312" w:hAnsi="仿宋_GB2312" w:eastAsia="仿宋_GB2312" w:cs="仿宋_GB2312"/>
          <w:b w:val="0"/>
          <w:bCs w:val="0"/>
          <w:sz w:val="72"/>
          <w:szCs w:val="72"/>
          <w:lang w:eastAsia="zh-CN"/>
        </w:rPr>
      </w:pPr>
    </w:p>
    <w:p w14:paraId="6F7BC0FF">
      <w:pPr>
        <w:pStyle w:val="12"/>
        <w:jc w:val="center"/>
        <w:rPr>
          <w:rFonts w:hint="eastAsia" w:ascii="仿宋_GB2312" w:hAnsi="仿宋_GB2312" w:eastAsia="仿宋_GB2312" w:cs="仿宋_GB2312"/>
          <w:b w:val="0"/>
          <w:bCs w:val="0"/>
          <w:sz w:val="72"/>
          <w:szCs w:val="72"/>
          <w:lang w:eastAsia="zh-CN"/>
        </w:rPr>
      </w:pPr>
    </w:p>
    <w:p w14:paraId="17EA4036">
      <w:pPr>
        <w:pStyle w:val="12"/>
        <w:jc w:val="center"/>
        <w:rPr>
          <w:rFonts w:hint="eastAsia" w:ascii="仿宋_GB2312" w:hAnsi="仿宋_GB2312" w:eastAsia="仿宋_GB2312" w:cs="仿宋_GB2312"/>
          <w:b w:val="0"/>
          <w:bCs w:val="0"/>
          <w:sz w:val="72"/>
          <w:szCs w:val="72"/>
          <w:lang w:eastAsia="zh-CN"/>
        </w:rPr>
      </w:pPr>
    </w:p>
    <w:p w14:paraId="5BE8F420">
      <w:pPr>
        <w:pStyle w:val="12"/>
        <w:jc w:val="center"/>
        <w:rPr>
          <w:rFonts w:hint="eastAsia" w:ascii="仿宋_GB2312" w:hAnsi="仿宋_GB2312" w:eastAsia="仿宋_GB2312" w:cs="仿宋_GB2312"/>
          <w:b w:val="0"/>
          <w:bCs w:val="0"/>
          <w:sz w:val="72"/>
          <w:szCs w:val="72"/>
          <w:lang w:eastAsia="zh-CN"/>
        </w:rPr>
      </w:pPr>
    </w:p>
    <w:p w14:paraId="6B10D37A">
      <w:pPr>
        <w:pStyle w:val="12"/>
        <w:jc w:val="center"/>
        <w:rPr>
          <w:rFonts w:hint="eastAsia" w:ascii="仿宋_GB2312" w:hAnsi="仿宋_GB2312" w:eastAsia="仿宋_GB2312" w:cs="仿宋_GB2312"/>
          <w:b w:val="0"/>
          <w:bCs w:val="0"/>
          <w:sz w:val="72"/>
          <w:szCs w:val="72"/>
          <w:lang w:eastAsia="zh-CN"/>
        </w:rPr>
      </w:pPr>
    </w:p>
    <w:p w14:paraId="7A19DE92">
      <w:pPr>
        <w:pStyle w:val="12"/>
        <w:jc w:val="center"/>
        <w:rPr>
          <w:rFonts w:hint="eastAsia" w:ascii="仿宋_GB2312" w:hAnsi="仿宋_GB2312" w:eastAsia="仿宋_GB2312" w:cs="仿宋_GB2312"/>
          <w:b w:val="0"/>
          <w:bCs w:val="0"/>
          <w:sz w:val="72"/>
          <w:szCs w:val="72"/>
          <w:lang w:eastAsia="zh-CN"/>
        </w:rPr>
      </w:pPr>
    </w:p>
    <w:p w14:paraId="4D5A74C5">
      <w:pPr>
        <w:pStyle w:val="12"/>
        <w:jc w:val="center"/>
        <w:rPr>
          <w:rFonts w:hint="eastAsia" w:ascii="仿宋_GB2312" w:hAnsi="仿宋_GB2312" w:eastAsia="仿宋_GB2312" w:cs="仿宋_GB2312"/>
          <w:b w:val="0"/>
          <w:bCs w:val="0"/>
          <w:sz w:val="72"/>
          <w:szCs w:val="72"/>
          <w:lang w:eastAsia="zh-CN"/>
        </w:rPr>
      </w:pPr>
    </w:p>
    <w:p w14:paraId="783DC1E5">
      <w:pPr>
        <w:pStyle w:val="12"/>
        <w:jc w:val="center"/>
        <w:rPr>
          <w:rFonts w:hint="eastAsia" w:ascii="方正小标宋_GBK" w:hAnsi="方正小标宋_GBK" w:eastAsia="方正小标宋_GBK" w:cs="方正小标宋_GBK"/>
          <w:sz w:val="72"/>
          <w:szCs w:val="72"/>
        </w:rPr>
      </w:pPr>
    </w:p>
    <w:p w14:paraId="1D097BCA">
      <w:pPr>
        <w:pStyle w:val="12"/>
        <w:jc w:val="center"/>
        <w:rPr>
          <w:rFonts w:hint="eastAsia" w:ascii="方正小标宋_GBK" w:hAnsi="方正小标宋_GBK" w:eastAsia="方正小标宋_GBK" w:cs="方正小标宋_GBK"/>
          <w:sz w:val="72"/>
          <w:szCs w:val="72"/>
        </w:rPr>
      </w:pPr>
    </w:p>
    <w:p w14:paraId="59582DF2">
      <w:pPr>
        <w:pStyle w:val="12"/>
        <w:jc w:val="both"/>
        <w:rPr>
          <w:rFonts w:hint="eastAsia" w:ascii="方正小标宋_GBK" w:hAnsi="方正小标宋_GBK" w:eastAsia="方正小标宋_GBK" w:cs="方正小标宋_GBK"/>
          <w:sz w:val="72"/>
          <w:szCs w:val="72"/>
        </w:rPr>
      </w:pPr>
    </w:p>
    <w:p w14:paraId="741A3F9B">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第三部分</w:t>
      </w:r>
    </w:p>
    <w:p w14:paraId="0721ED29">
      <w:pPr>
        <w:pStyle w:val="12"/>
        <w:jc w:val="center"/>
        <w:rPr>
          <w:rFonts w:hint="eastAsia" w:ascii="方正小标宋_GBK" w:hAnsi="方正小标宋_GBK" w:eastAsia="方正小标宋_GBK" w:cs="方正小标宋_GBK"/>
          <w:sz w:val="70"/>
          <w:szCs w:val="70"/>
        </w:rPr>
      </w:pPr>
    </w:p>
    <w:p w14:paraId="5F93F195">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0"/>
          <w:szCs w:val="70"/>
          <w:lang w:eastAsia="zh-CN"/>
        </w:rPr>
        <w:t>2025年</w:t>
      </w:r>
      <w:r>
        <w:rPr>
          <w:rFonts w:hint="eastAsia" w:ascii="方正小标宋_GBK" w:hAnsi="方正小标宋_GBK" w:eastAsia="方正小标宋_GBK" w:cs="方正小标宋_GBK"/>
          <w:sz w:val="70"/>
          <w:szCs w:val="70"/>
        </w:rPr>
        <w:t>度部门决算情况说明</w:t>
      </w:r>
    </w:p>
    <w:p w14:paraId="43C2A3B1">
      <w:pPr>
        <w:pStyle w:val="12"/>
        <w:jc w:val="center"/>
        <w:rPr>
          <w:rFonts w:hint="eastAsia" w:ascii="方正小标宋_GBK" w:hAnsi="方正小标宋_GBK" w:eastAsia="方正小标宋_GBK" w:cs="方正小标宋_GBK"/>
          <w:sz w:val="70"/>
          <w:szCs w:val="70"/>
        </w:rPr>
      </w:pPr>
    </w:p>
    <w:p w14:paraId="7FD26C87">
      <w:pPr>
        <w:pStyle w:val="12"/>
        <w:jc w:val="center"/>
        <w:rPr>
          <w:rFonts w:hint="eastAsia" w:ascii="方正小标宋_GBK" w:hAnsi="方正小标宋_GBK" w:eastAsia="方正小标宋_GBK" w:cs="方正小标宋_GBK"/>
          <w:sz w:val="70"/>
          <w:szCs w:val="70"/>
        </w:rPr>
      </w:pPr>
    </w:p>
    <w:p w14:paraId="5DC4D1F8">
      <w:pPr>
        <w:pStyle w:val="12"/>
        <w:jc w:val="center"/>
        <w:rPr>
          <w:rFonts w:hint="eastAsia" w:ascii="方正小标宋_GBK" w:hAnsi="方正小标宋_GBK" w:eastAsia="方正小标宋_GBK" w:cs="方正小标宋_GBK"/>
          <w:sz w:val="70"/>
          <w:szCs w:val="70"/>
        </w:rPr>
      </w:pPr>
    </w:p>
    <w:p w14:paraId="26F47BC4">
      <w:pPr>
        <w:pStyle w:val="12"/>
        <w:jc w:val="center"/>
        <w:rPr>
          <w:rFonts w:hint="eastAsia" w:ascii="方正小标宋_GBK" w:hAnsi="方正小标宋_GBK" w:eastAsia="方正小标宋_GBK" w:cs="方正小标宋_GBK"/>
          <w:sz w:val="70"/>
          <w:szCs w:val="70"/>
        </w:rPr>
      </w:pPr>
    </w:p>
    <w:p w14:paraId="6A12D158">
      <w:pPr>
        <w:pStyle w:val="12"/>
        <w:jc w:val="center"/>
        <w:rPr>
          <w:rFonts w:hint="eastAsia" w:ascii="方正小标宋_GBK" w:hAnsi="方正小标宋_GBK" w:eastAsia="方正小标宋_GBK" w:cs="方正小标宋_GBK"/>
          <w:sz w:val="70"/>
          <w:szCs w:val="70"/>
        </w:rPr>
      </w:pPr>
    </w:p>
    <w:p w14:paraId="3C2CECEA">
      <w:pPr>
        <w:pStyle w:val="12"/>
        <w:jc w:val="center"/>
        <w:rPr>
          <w:rFonts w:hint="eastAsia" w:ascii="方正小标宋_GBK" w:hAnsi="方正小标宋_GBK" w:eastAsia="方正小标宋_GBK" w:cs="方正小标宋_GBK"/>
          <w:sz w:val="70"/>
          <w:szCs w:val="70"/>
        </w:rPr>
      </w:pPr>
    </w:p>
    <w:p w14:paraId="2DDBAD95">
      <w:pPr>
        <w:widowControl/>
        <w:ind w:firstLine="640" w:firstLineChars="200"/>
        <w:jc w:val="left"/>
        <w:rPr>
          <w:rFonts w:hint="eastAsia" w:ascii="仿宋_GB2312" w:hAnsi="仿宋_GB2312" w:eastAsia="仿宋_GB2312" w:cs="仿宋_GB2312"/>
          <w:sz w:val="32"/>
          <w:szCs w:val="32"/>
        </w:rPr>
      </w:pPr>
    </w:p>
    <w:p w14:paraId="04A64008">
      <w:pPr>
        <w:widowControl/>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说明：</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由于</w:t>
      </w:r>
      <w:r>
        <w:rPr>
          <w:rFonts w:hint="eastAsia" w:ascii="仿宋_GB2312" w:hAnsi="仿宋_GB2312" w:eastAsia="仿宋_GB2312" w:cs="仿宋_GB2312"/>
          <w:sz w:val="32"/>
          <w:szCs w:val="32"/>
          <w:lang w:eastAsia="zh-CN"/>
        </w:rPr>
        <w:t>部门</w:t>
      </w:r>
      <w:r>
        <w:rPr>
          <w:rFonts w:hint="eastAsia" w:ascii="仿宋_GB2312" w:hAnsi="仿宋_GB2312" w:eastAsia="仿宋_GB2312" w:cs="仿宋_GB2312"/>
          <w:sz w:val="32"/>
          <w:szCs w:val="32"/>
        </w:rPr>
        <w:t>决算编制时</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明细</w:t>
      </w:r>
      <w:r>
        <w:rPr>
          <w:rFonts w:hint="eastAsia" w:ascii="仿宋_GB2312" w:hAnsi="仿宋_GB2312" w:eastAsia="仿宋_GB2312" w:cs="仿宋_GB2312"/>
          <w:sz w:val="32"/>
          <w:szCs w:val="32"/>
          <w:lang w:eastAsia="zh-CN"/>
        </w:rPr>
        <w:t>至“金额单位：元</w:t>
      </w:r>
      <w:r>
        <w:rPr>
          <w:rFonts w:hint="eastAsia" w:ascii="仿宋_GB2312" w:hAnsi="仿宋_GB2312" w:eastAsia="仿宋_GB2312" w:cs="仿宋_GB2312"/>
          <w:sz w:val="32"/>
          <w:szCs w:val="32"/>
        </w:rPr>
        <w:t>”，而</w:t>
      </w:r>
      <w:r>
        <w:rPr>
          <w:rFonts w:hint="eastAsia" w:ascii="仿宋_GB2312" w:hAnsi="仿宋_GB2312" w:eastAsia="仿宋_GB2312" w:cs="仿宋_GB2312"/>
          <w:sz w:val="32"/>
          <w:szCs w:val="32"/>
          <w:lang w:eastAsia="zh-CN"/>
        </w:rPr>
        <w:t>本套部门决算文字说明</w:t>
      </w:r>
      <w:r>
        <w:rPr>
          <w:rFonts w:hint="eastAsia" w:ascii="仿宋_GB2312" w:hAnsi="仿宋_GB2312" w:eastAsia="仿宋_GB2312" w:cs="仿宋_GB2312"/>
          <w:sz w:val="32"/>
          <w:szCs w:val="32"/>
        </w:rPr>
        <w:t>和公开表格</w:t>
      </w:r>
      <w:r>
        <w:rPr>
          <w:rFonts w:hint="eastAsia" w:ascii="仿宋_GB2312" w:hAnsi="仿宋_GB2312" w:eastAsia="仿宋_GB2312" w:cs="仿宋_GB2312"/>
          <w:sz w:val="32"/>
          <w:szCs w:val="32"/>
          <w:lang w:eastAsia="zh-CN"/>
        </w:rPr>
        <w:t>数据</w:t>
      </w:r>
      <w:r>
        <w:rPr>
          <w:rFonts w:hint="eastAsia" w:ascii="仿宋_GB2312" w:hAnsi="仿宋_GB2312" w:eastAsia="仿宋_GB2312" w:cs="仿宋_GB2312"/>
          <w:sz w:val="32"/>
          <w:szCs w:val="32"/>
        </w:rPr>
        <w:t>取数</w:t>
      </w:r>
      <w:r>
        <w:rPr>
          <w:rFonts w:hint="eastAsia" w:ascii="仿宋_GB2312" w:hAnsi="仿宋_GB2312" w:eastAsia="仿宋_GB2312" w:cs="仿宋_GB2312"/>
          <w:sz w:val="32"/>
          <w:szCs w:val="32"/>
          <w:lang w:eastAsia="zh-CN"/>
        </w:rPr>
        <w:t>转换为</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金额单位：</w:t>
      </w:r>
      <w:r>
        <w:rPr>
          <w:rFonts w:hint="eastAsia" w:ascii="仿宋_GB2312" w:hAnsi="仿宋_GB2312" w:eastAsia="仿宋_GB2312" w:cs="仿宋_GB2312"/>
          <w:sz w:val="32"/>
          <w:szCs w:val="32"/>
        </w:rPr>
        <w:t>万元”，可能导致</w:t>
      </w:r>
      <w:r>
        <w:rPr>
          <w:rFonts w:hint="eastAsia" w:ascii="仿宋_GB2312" w:hAnsi="仿宋_GB2312" w:eastAsia="仿宋_GB2312" w:cs="仿宋_GB2312"/>
          <w:sz w:val="32"/>
          <w:szCs w:val="32"/>
          <w:lang w:eastAsia="zh-CN"/>
        </w:rPr>
        <w:t>以下文字说明中的各项数据取数以及公开</w:t>
      </w:r>
      <w:r>
        <w:rPr>
          <w:rFonts w:hint="eastAsia" w:ascii="仿宋_GB2312" w:hAnsi="仿宋_GB2312" w:eastAsia="仿宋_GB2312" w:cs="仿宋_GB2312"/>
          <w:sz w:val="32"/>
          <w:szCs w:val="32"/>
        </w:rPr>
        <w:t>表格</w:t>
      </w:r>
      <w:r>
        <w:rPr>
          <w:rFonts w:hint="eastAsia" w:ascii="仿宋_GB2312" w:hAnsi="仿宋_GB2312" w:eastAsia="仿宋_GB2312" w:cs="仿宋_GB2312"/>
          <w:sz w:val="32"/>
          <w:szCs w:val="32"/>
          <w:lang w:eastAsia="zh-CN"/>
        </w:rPr>
        <w:t>中的各项数据取数之间存在</w:t>
      </w:r>
      <w:r>
        <w:rPr>
          <w:rFonts w:hint="eastAsia" w:ascii="仿宋_GB2312" w:hAnsi="仿宋_GB2312" w:eastAsia="仿宋_GB2312" w:cs="仿宋_GB2312"/>
          <w:sz w:val="32"/>
          <w:szCs w:val="32"/>
        </w:rPr>
        <w:t>0.01的尾数差异。</w:t>
      </w:r>
      <w:r>
        <w:rPr>
          <w:rFonts w:hint="eastAsia" w:ascii="仿宋_GB2312" w:hAnsi="仿宋_GB2312" w:eastAsia="仿宋_GB2312" w:cs="仿宋_GB2312"/>
          <w:sz w:val="32"/>
          <w:szCs w:val="32"/>
          <w:lang w:val="en-US" w:eastAsia="zh-CN"/>
        </w:rPr>
        <w:t>2、以下文字说明中，部分科目由于预算数为0，无法计算完成年初预算的百分比，故未描述“</w:t>
      </w:r>
      <w:r>
        <w:rPr>
          <w:rFonts w:hint="eastAsia" w:ascii="仿宋_GB2312" w:hAnsi="仿宋_GB2312" w:eastAsia="仿宋_GB2312" w:cs="仿宋_GB2312"/>
          <w:sz w:val="32"/>
          <w:szCs w:val="32"/>
        </w:rPr>
        <w:t>完成年初预算的XX%</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w:t>
      </w:r>
    </w:p>
    <w:p w14:paraId="0017BEA9">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一、收入支出决算总体情况说明</w:t>
      </w:r>
    </w:p>
    <w:p w14:paraId="62DFFB2A">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度收、支总计</w:t>
      </w:r>
      <w:r>
        <w:rPr>
          <w:rFonts w:hint="eastAsia" w:ascii="仿宋_GB2312" w:hAnsi="仿宋_GB2312" w:eastAsia="仿宋_GB2312" w:cs="仿宋_GB2312"/>
          <w:sz w:val="32"/>
          <w:szCs w:val="32"/>
          <w:lang w:val="en-US" w:eastAsia="zh-CN"/>
        </w:rPr>
        <w:t>7994.51</w:t>
      </w:r>
      <w:r>
        <w:rPr>
          <w:rFonts w:hint="eastAsia" w:ascii="仿宋_GB2312" w:hAnsi="仿宋_GB2312" w:eastAsia="仿宋_GB2312" w:cs="仿宋_GB2312"/>
          <w:sz w:val="32"/>
          <w:szCs w:val="32"/>
        </w:rPr>
        <w:t>万元。与上年相比，增加6047.87万元，增长</w:t>
      </w:r>
      <w:r>
        <w:rPr>
          <w:rFonts w:hint="eastAsia" w:ascii="仿宋_GB2312" w:hAnsi="仿宋_GB2312" w:eastAsia="仿宋_GB2312" w:cs="仿宋_GB2312"/>
          <w:sz w:val="32"/>
          <w:szCs w:val="32"/>
          <w:lang w:val="en-US" w:eastAsia="zh-CN"/>
        </w:rPr>
        <w:t>310.68</w:t>
      </w:r>
      <w:r>
        <w:rPr>
          <w:rFonts w:hint="eastAsia" w:ascii="仿宋_GB2312" w:hAnsi="仿宋_GB2312" w:eastAsia="仿宋_GB2312" w:cs="仿宋_GB2312"/>
          <w:sz w:val="32"/>
          <w:szCs w:val="32"/>
        </w:rPr>
        <w:t>%，主要是因为机构改革，区级执法大队上收市级，人员增加</w:t>
      </w:r>
      <w:r>
        <w:rPr>
          <w:rFonts w:hint="eastAsia" w:ascii="仿宋_GB2312" w:hAnsi="仿宋_GB2312" w:eastAsia="仿宋_GB2312" w:cs="仿宋_GB2312"/>
          <w:sz w:val="32"/>
          <w:szCs w:val="32"/>
          <w:lang w:eastAsia="zh-CN"/>
        </w:rPr>
        <w:t>。</w:t>
      </w:r>
    </w:p>
    <w:p w14:paraId="30DE367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二、收入决算情况说明</w:t>
      </w:r>
    </w:p>
    <w:p w14:paraId="4540AEB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度收入合计</w:t>
      </w:r>
      <w:r>
        <w:rPr>
          <w:rFonts w:hint="eastAsia" w:ascii="仿宋_GB2312" w:hAnsi="仿宋_GB2312" w:eastAsia="仿宋_GB2312" w:cs="仿宋_GB2312"/>
          <w:sz w:val="32"/>
          <w:szCs w:val="32"/>
          <w:lang w:val="en-US" w:eastAsia="zh-CN"/>
        </w:rPr>
        <w:t>7994.51</w:t>
      </w:r>
      <w:r>
        <w:rPr>
          <w:rFonts w:hint="eastAsia" w:ascii="仿宋_GB2312" w:hAnsi="仿宋_GB2312" w:eastAsia="仿宋_GB2312" w:cs="仿宋_GB2312"/>
          <w:sz w:val="32"/>
          <w:szCs w:val="32"/>
        </w:rPr>
        <w:t>万元，其中：财政拨款收入7932.63万元，占99.23%；上级补助收入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%；事业收入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%；经营收入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%；附属单位上缴收入</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%；其他收入</w:t>
      </w:r>
      <w:r>
        <w:rPr>
          <w:rFonts w:hint="eastAsia" w:ascii="仿宋_GB2312" w:hAnsi="仿宋_GB2312" w:eastAsia="仿宋_GB2312" w:cs="仿宋_GB2312"/>
          <w:sz w:val="32"/>
          <w:szCs w:val="32"/>
          <w:lang w:val="en-US" w:eastAsia="zh-CN"/>
        </w:rPr>
        <w:t>61.88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0.77</w:t>
      </w:r>
      <w:r>
        <w:rPr>
          <w:rFonts w:hint="eastAsia" w:ascii="仿宋_GB2312" w:hAnsi="仿宋_GB2312" w:eastAsia="仿宋_GB2312" w:cs="仿宋_GB2312"/>
          <w:sz w:val="32"/>
          <w:szCs w:val="32"/>
        </w:rPr>
        <w:t>%。</w:t>
      </w:r>
    </w:p>
    <w:p w14:paraId="5F7714C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三、支出决算情况说明</w:t>
      </w:r>
    </w:p>
    <w:p w14:paraId="7845AD66">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度支出合计7934.65万元，其中：基本支出7576.24万元，占</w:t>
      </w:r>
      <w:r>
        <w:rPr>
          <w:rFonts w:hint="eastAsia" w:ascii="仿宋_GB2312" w:hAnsi="仿宋_GB2312" w:eastAsia="仿宋_GB2312" w:cs="仿宋_GB2312"/>
          <w:sz w:val="32"/>
          <w:szCs w:val="32"/>
          <w:lang w:val="en-US" w:eastAsia="zh-CN"/>
        </w:rPr>
        <w:t>95.48</w:t>
      </w:r>
      <w:r>
        <w:rPr>
          <w:rFonts w:hint="eastAsia" w:ascii="仿宋_GB2312" w:hAnsi="仿宋_GB2312" w:eastAsia="仿宋_GB2312" w:cs="仿宋_GB2312"/>
          <w:sz w:val="32"/>
          <w:szCs w:val="32"/>
        </w:rPr>
        <w:t>%；项目支出358.41万元，占</w:t>
      </w:r>
      <w:r>
        <w:rPr>
          <w:rFonts w:hint="eastAsia" w:ascii="仿宋_GB2312" w:hAnsi="仿宋_GB2312" w:eastAsia="仿宋_GB2312" w:cs="仿宋_GB2312"/>
          <w:sz w:val="32"/>
          <w:szCs w:val="32"/>
          <w:lang w:val="en-US" w:eastAsia="zh-CN"/>
        </w:rPr>
        <w:t>4.52</w:t>
      </w:r>
      <w:r>
        <w:rPr>
          <w:rFonts w:hint="eastAsia" w:ascii="仿宋_GB2312" w:hAnsi="仿宋_GB2312" w:eastAsia="仿宋_GB2312" w:cs="仿宋_GB2312"/>
          <w:sz w:val="32"/>
          <w:szCs w:val="32"/>
        </w:rPr>
        <w:t>%；上缴上级支出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%；经营支出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%；对附属单位补助支出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w:t>
      </w:r>
    </w:p>
    <w:p w14:paraId="144428D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四、财政拨款收入支出决算总体情况说明</w:t>
      </w:r>
    </w:p>
    <w:p w14:paraId="45D61EA5">
      <w:pPr>
        <w:pStyle w:val="12"/>
        <w:keepNext w:val="0"/>
        <w:keepLines w:val="0"/>
        <w:pageBreakBefore w:val="0"/>
        <w:widowControl w:val="0"/>
        <w:kinsoku/>
        <w:wordWrap/>
        <w:overflowPunct/>
        <w:topLinePunct w:val="0"/>
        <w:bidi w:val="0"/>
        <w:snapToGrid/>
        <w:spacing w:line="600" w:lineRule="exact"/>
        <w:textAlignment w:val="auto"/>
        <w:rPr>
          <w:rFonts w:hint="eastAsia" w:ascii="仿宋_GB2312" w:hAnsi="仿宋_GB2312" w:eastAsia="仿宋_GB2312" w:cs="仿宋_GB2312"/>
          <w:sz w:val="32"/>
          <w:szCs w:val="32"/>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度财政拨款收、支总计7932.63万元，与上年相比，增加</w:t>
      </w:r>
      <w:r>
        <w:rPr>
          <w:rFonts w:hint="eastAsia" w:ascii="仿宋_GB2312" w:hAnsi="仿宋_GB2312" w:eastAsia="仿宋_GB2312" w:cs="仿宋_GB2312"/>
          <w:sz w:val="32"/>
          <w:szCs w:val="32"/>
          <w:lang w:val="en-US" w:eastAsia="zh-CN"/>
        </w:rPr>
        <w:t>5987.00</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307.72</w:t>
      </w:r>
      <w:r>
        <w:rPr>
          <w:rFonts w:hint="eastAsia" w:ascii="仿宋_GB2312" w:hAnsi="仿宋_GB2312" w:eastAsia="仿宋_GB2312" w:cs="仿宋_GB2312"/>
          <w:sz w:val="32"/>
          <w:szCs w:val="32"/>
        </w:rPr>
        <w:t>%，主要是因为机构改革，区级执法大队上收市级，人员增加</w:t>
      </w:r>
      <w:r>
        <w:rPr>
          <w:rFonts w:hint="eastAsia" w:ascii="仿宋_GB2312" w:hAnsi="仿宋_GB2312" w:eastAsia="仿宋_GB2312" w:cs="仿宋_GB2312"/>
          <w:sz w:val="32"/>
          <w:szCs w:val="32"/>
          <w:lang w:eastAsia="zh-CN"/>
        </w:rPr>
        <w:t>。</w:t>
      </w:r>
    </w:p>
    <w:p w14:paraId="13CC00E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五、一般公共预算财政拨款支出决算情况说明</w:t>
      </w:r>
    </w:p>
    <w:p w14:paraId="7C903A1B">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（一）一般公共预算财政拨款支出决算总体情况</w:t>
      </w:r>
    </w:p>
    <w:p w14:paraId="60106F25">
      <w:pPr>
        <w:pStyle w:val="12"/>
        <w:keepNext w:val="0"/>
        <w:keepLines w:val="0"/>
        <w:pageBreakBefore w:val="0"/>
        <w:widowControl w:val="0"/>
        <w:kinsoku/>
        <w:wordWrap/>
        <w:overflowPunct/>
        <w:topLinePunct w:val="0"/>
        <w:bidi w:val="0"/>
        <w:snapToGrid/>
        <w:spacing w:line="600" w:lineRule="exact"/>
        <w:ind w:firstLine="480" w:firstLineChars="150"/>
        <w:textAlignment w:val="auto"/>
        <w:rPr>
          <w:rFonts w:hint="eastAsia" w:ascii="仿宋_GB2312" w:hAnsi="仿宋_GB2312" w:eastAsia="仿宋_GB2312" w:cs="仿宋_GB2312"/>
          <w:i/>
          <w:iCs/>
          <w:color w:val="FF0000"/>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度财政拨款支出7932.63万元，占本年支出合计的</w:t>
      </w:r>
      <w:r>
        <w:rPr>
          <w:rFonts w:hint="eastAsia" w:ascii="仿宋_GB2312" w:hAnsi="仿宋_GB2312" w:eastAsia="仿宋_GB2312" w:cs="仿宋_GB2312"/>
          <w:sz w:val="32"/>
          <w:szCs w:val="32"/>
          <w:lang w:val="en-US" w:eastAsia="zh-CN"/>
        </w:rPr>
        <w:t>99.97</w:t>
      </w:r>
      <w:r>
        <w:rPr>
          <w:rFonts w:hint="eastAsia" w:ascii="仿宋_GB2312" w:hAnsi="仿宋_GB2312" w:eastAsia="仿宋_GB2312" w:cs="仿宋_GB2312"/>
          <w:sz w:val="32"/>
          <w:szCs w:val="32"/>
        </w:rPr>
        <w:t>%，与上年相比，财政拨款支出增加</w:t>
      </w:r>
      <w:r>
        <w:rPr>
          <w:rFonts w:hint="eastAsia" w:ascii="仿宋_GB2312" w:hAnsi="仿宋_GB2312" w:eastAsia="仿宋_GB2312" w:cs="仿宋_GB2312"/>
          <w:sz w:val="32"/>
          <w:szCs w:val="32"/>
          <w:lang w:val="en-US" w:eastAsia="zh-CN"/>
        </w:rPr>
        <w:t>5987.00</w:t>
      </w:r>
      <w:r>
        <w:rPr>
          <w:rFonts w:hint="eastAsia" w:ascii="仿宋_GB2312" w:hAnsi="仿宋_GB2312" w:eastAsia="仿宋_GB2312" w:cs="仿宋_GB2312"/>
          <w:sz w:val="32"/>
          <w:szCs w:val="32"/>
        </w:rPr>
        <w:t>万元，增长</w:t>
      </w:r>
      <w:r>
        <w:rPr>
          <w:rFonts w:hint="eastAsia" w:ascii="仿宋_GB2312" w:hAnsi="仿宋_GB2312" w:eastAsia="仿宋_GB2312" w:cs="仿宋_GB2312"/>
          <w:sz w:val="32"/>
          <w:szCs w:val="32"/>
          <w:lang w:val="en-US" w:eastAsia="zh-CN"/>
        </w:rPr>
        <w:t>307.72</w:t>
      </w:r>
      <w:r>
        <w:rPr>
          <w:rFonts w:hint="eastAsia" w:ascii="仿宋_GB2312" w:hAnsi="仿宋_GB2312" w:eastAsia="仿宋_GB2312" w:cs="仿宋_GB2312"/>
          <w:sz w:val="32"/>
          <w:szCs w:val="32"/>
        </w:rPr>
        <w:t>%，主要是因为机构改革，区级执法大队上收市级，人员增加</w:t>
      </w:r>
      <w:r>
        <w:rPr>
          <w:rFonts w:hint="eastAsia" w:ascii="仿宋_GB2312" w:hAnsi="仿宋_GB2312" w:eastAsia="仿宋_GB2312" w:cs="仿宋_GB2312"/>
          <w:sz w:val="32"/>
          <w:szCs w:val="32"/>
          <w:lang w:eastAsia="zh-CN"/>
        </w:rPr>
        <w:t>。</w:t>
      </w:r>
    </w:p>
    <w:p w14:paraId="73F1581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（二）一般公共预算财政拨款支出决算结构情况</w:t>
      </w:r>
    </w:p>
    <w:p w14:paraId="36265A4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度财政拨款支出7932.63万元，主要用于以下方面：社会保障和就业（类）支出</w:t>
      </w:r>
      <w:r>
        <w:rPr>
          <w:rFonts w:hint="eastAsia" w:ascii="仿宋_GB2312" w:hAnsi="仿宋_GB2312" w:eastAsia="仿宋_GB2312" w:cs="仿宋_GB2312"/>
          <w:sz w:val="32"/>
          <w:szCs w:val="32"/>
          <w:lang w:val="en-US" w:eastAsia="zh-CN"/>
        </w:rPr>
        <w:t>749.06</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9.44</w:t>
      </w:r>
      <w:r>
        <w:rPr>
          <w:rFonts w:hint="eastAsia" w:ascii="仿宋_GB2312" w:hAnsi="仿宋_GB2312" w:eastAsia="仿宋_GB2312" w:cs="仿宋_GB2312"/>
          <w:sz w:val="32"/>
          <w:szCs w:val="32"/>
        </w:rPr>
        <w:t>%；卫生健康（类）支出413.91万元，占</w:t>
      </w:r>
      <w:r>
        <w:rPr>
          <w:rFonts w:hint="eastAsia" w:ascii="仿宋_GB2312" w:hAnsi="仿宋_GB2312" w:eastAsia="仿宋_GB2312" w:cs="仿宋_GB2312"/>
          <w:sz w:val="32"/>
          <w:szCs w:val="32"/>
          <w:lang w:val="en-US" w:eastAsia="zh-CN"/>
        </w:rPr>
        <w:t>5.22</w:t>
      </w:r>
      <w:r>
        <w:rPr>
          <w:rFonts w:hint="eastAsia" w:ascii="仿宋_GB2312" w:hAnsi="仿宋_GB2312" w:eastAsia="仿宋_GB2312" w:cs="仿宋_GB2312"/>
          <w:sz w:val="32"/>
          <w:szCs w:val="32"/>
        </w:rPr>
        <w:t>%；城乡社区（类）支出</w:t>
      </w:r>
      <w:r>
        <w:rPr>
          <w:rFonts w:hint="eastAsia" w:ascii="仿宋_GB2312" w:hAnsi="仿宋_GB2312" w:eastAsia="仿宋_GB2312" w:cs="仿宋_GB2312"/>
          <w:sz w:val="32"/>
          <w:szCs w:val="32"/>
          <w:lang w:val="en-US" w:eastAsia="zh-CN"/>
        </w:rPr>
        <w:t>6255.39</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78.86</w:t>
      </w:r>
      <w:r>
        <w:rPr>
          <w:rFonts w:hint="eastAsia" w:ascii="仿宋_GB2312" w:hAnsi="仿宋_GB2312" w:eastAsia="仿宋_GB2312" w:cs="仿宋_GB2312"/>
          <w:sz w:val="32"/>
          <w:szCs w:val="32"/>
        </w:rPr>
        <w:t>%；住房保障（类）支出</w:t>
      </w:r>
      <w:r>
        <w:rPr>
          <w:rFonts w:hint="eastAsia" w:ascii="仿宋_GB2312" w:hAnsi="仿宋_GB2312" w:eastAsia="仿宋_GB2312" w:cs="仿宋_GB2312"/>
          <w:sz w:val="32"/>
          <w:szCs w:val="32"/>
          <w:lang w:val="en-US" w:eastAsia="zh-CN"/>
        </w:rPr>
        <w:t>514.27</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6.48</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p>
    <w:p w14:paraId="06B0A5B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（三）一般公共预算财政拨款支出决算具体情况</w:t>
      </w:r>
    </w:p>
    <w:p w14:paraId="776E75F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度财政拨款支出年初预算数为</w:t>
      </w:r>
      <w:r>
        <w:rPr>
          <w:rFonts w:hint="eastAsia" w:ascii="仿宋_GB2312" w:hAnsi="仿宋_GB2312" w:eastAsia="仿宋_GB2312" w:cs="仿宋_GB2312"/>
          <w:sz w:val="32"/>
          <w:szCs w:val="32"/>
          <w:lang w:val="en-US" w:eastAsia="zh-CN"/>
        </w:rPr>
        <w:t>8335.57</w:t>
      </w:r>
      <w:r>
        <w:rPr>
          <w:rFonts w:hint="eastAsia" w:ascii="仿宋_GB2312" w:hAnsi="仿宋_GB2312" w:eastAsia="仿宋_GB2312" w:cs="仿宋_GB2312"/>
          <w:sz w:val="32"/>
          <w:szCs w:val="32"/>
        </w:rPr>
        <w:t>万元，支出决算数为7932.63万元，完成年初预算的</w:t>
      </w:r>
      <w:r>
        <w:rPr>
          <w:rFonts w:hint="eastAsia" w:ascii="仿宋_GB2312" w:hAnsi="仿宋_GB2312" w:eastAsia="仿宋_GB2312" w:cs="仿宋_GB2312"/>
          <w:sz w:val="32"/>
          <w:szCs w:val="32"/>
          <w:lang w:val="en-US" w:eastAsia="zh-CN"/>
        </w:rPr>
        <w:t>95.17</w:t>
      </w:r>
      <w:r>
        <w:rPr>
          <w:rFonts w:hint="eastAsia" w:ascii="仿宋_GB2312" w:hAnsi="仿宋_GB2312" w:eastAsia="仿宋_GB2312" w:cs="仿宋_GB2312"/>
          <w:sz w:val="32"/>
          <w:szCs w:val="32"/>
        </w:rPr>
        <w:t>%，其中：</w:t>
      </w:r>
    </w:p>
    <w:p w14:paraId="262D277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1、社会保障和就业支出（类）行政事业单位养老支出（款）机关事业单位基本养老保险缴费支出（项）。</w:t>
      </w:r>
    </w:p>
    <w:p w14:paraId="062511C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731.57</w:t>
      </w:r>
      <w:r>
        <w:rPr>
          <w:rFonts w:hint="eastAsia" w:ascii="仿宋_GB2312" w:hAnsi="仿宋_GB2312" w:eastAsia="仿宋_GB2312" w:cs="仿宋_GB2312"/>
          <w:sz w:val="32"/>
          <w:szCs w:val="32"/>
        </w:rPr>
        <w:t>万元，支出决算为730.4</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99.85</w:t>
      </w:r>
      <w:r>
        <w:rPr>
          <w:rFonts w:hint="eastAsia" w:ascii="仿宋_GB2312" w:hAnsi="仿宋_GB2312" w:eastAsia="仿宋_GB2312" w:cs="仿宋_GB2312"/>
          <w:sz w:val="32"/>
          <w:szCs w:val="32"/>
        </w:rPr>
        <w:t>%，决算数小于年初预算数的</w:t>
      </w:r>
      <w:r>
        <w:rPr>
          <w:rFonts w:hint="eastAsia" w:ascii="仿宋_GB2312" w:hAnsi="仿宋_GB2312" w:eastAsia="仿宋_GB2312" w:cs="仿宋_GB2312"/>
          <w:sz w:val="32"/>
          <w:szCs w:val="32"/>
          <w:highlight w:val="none"/>
        </w:rPr>
        <w:t>主要原因是：</w:t>
      </w:r>
      <w:r>
        <w:rPr>
          <w:rFonts w:hint="eastAsia" w:ascii="仿宋" w:hAnsi="仿宋" w:eastAsia="仿宋" w:cs="黑体"/>
          <w:color w:val="000000"/>
          <w:kern w:val="0"/>
          <w:sz w:val="32"/>
          <w:szCs w:val="32"/>
          <w:highlight w:val="none"/>
          <w:lang w:val="en-US" w:eastAsia="zh-CN"/>
        </w:rPr>
        <w:t>年中人员退休，在职人员减少</w:t>
      </w:r>
      <w:r>
        <w:rPr>
          <w:rFonts w:hint="eastAsia" w:ascii="仿宋_GB2312" w:hAnsi="仿宋_GB2312" w:eastAsia="仿宋_GB2312" w:cs="仿宋_GB2312"/>
          <w:sz w:val="32"/>
          <w:szCs w:val="32"/>
          <w:highlight w:val="none"/>
          <w:lang w:eastAsia="zh-CN"/>
        </w:rPr>
        <w:t>。</w:t>
      </w:r>
    </w:p>
    <w:p w14:paraId="510BBA20">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2、社会保障和就业支出（类）残疾人事业（款）其他残疾人事业支出（项）。</w:t>
      </w:r>
    </w:p>
    <w:p w14:paraId="4119BB7B">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9.17</w:t>
      </w:r>
      <w:r>
        <w:rPr>
          <w:rFonts w:hint="eastAsia" w:ascii="仿宋_GB2312" w:hAnsi="仿宋_GB2312" w:eastAsia="仿宋_GB2312" w:cs="仿宋_GB2312"/>
          <w:sz w:val="32"/>
          <w:szCs w:val="32"/>
        </w:rPr>
        <w:t>万元，支出决算为9.17万元，完成年初预算的</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w:t>
      </w:r>
      <w:r>
        <w:rPr>
          <w:rFonts w:hint="eastAsia" w:ascii="仿宋" w:hAnsi="仿宋" w:eastAsia="仿宋"/>
          <w:sz w:val="32"/>
          <w:szCs w:val="32"/>
          <w:highlight w:val="none"/>
          <w:lang w:val="en-US" w:eastAsia="zh-CN"/>
        </w:rPr>
        <w:t>决算数等于年初预算数的主要原因是：本部门严格按预算执行决算。</w:t>
      </w:r>
    </w:p>
    <w:p w14:paraId="5BB3217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、社会保障和就业支出（类）抚恤（款）其他优抚支出（项）。</w:t>
      </w:r>
    </w:p>
    <w:p w14:paraId="07EBF5F8">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3.10</w:t>
      </w:r>
      <w:r>
        <w:rPr>
          <w:rFonts w:hint="eastAsia" w:ascii="仿宋_GB2312" w:hAnsi="仿宋_GB2312" w:eastAsia="仿宋_GB2312" w:cs="仿宋_GB2312"/>
          <w:sz w:val="32"/>
          <w:szCs w:val="32"/>
        </w:rPr>
        <w:t>万元，</w:t>
      </w:r>
      <w:r>
        <w:rPr>
          <w:rFonts w:hint="eastAsia" w:ascii="仿宋" w:hAnsi="仿宋" w:eastAsia="仿宋" w:cs="黑体"/>
          <w:color w:val="000000"/>
          <w:kern w:val="0"/>
          <w:sz w:val="32"/>
          <w:szCs w:val="32"/>
          <w:highlight w:val="none"/>
          <w:lang w:val="en-US" w:eastAsia="zh-CN"/>
        </w:rPr>
        <w:t>由于年初预算数为0，无法计算完成百分比</w:t>
      </w:r>
      <w:r>
        <w:rPr>
          <w:rFonts w:hint="eastAsia" w:ascii="仿宋" w:hAnsi="仿宋" w:eastAsia="仿宋" w:cs="黑体"/>
          <w:color w:val="000000"/>
          <w:kern w:val="0"/>
          <w:sz w:val="32"/>
          <w:szCs w:val="32"/>
          <w:highlight w:val="none"/>
          <w:lang w:eastAsia="zh-CN"/>
        </w:rPr>
        <w:t>，决算数大于年初预算数的主要原因是：追加了</w:t>
      </w:r>
      <w:r>
        <w:rPr>
          <w:rFonts w:hint="eastAsia" w:ascii="仿宋" w:hAnsi="仿宋" w:eastAsia="仿宋" w:cs="黑体"/>
          <w:color w:val="000000"/>
          <w:kern w:val="0"/>
          <w:sz w:val="32"/>
          <w:szCs w:val="32"/>
          <w:highlight w:val="none"/>
          <w:lang w:val="en-US" w:eastAsia="zh-CN"/>
        </w:rPr>
        <w:t>2025年度遗属生活困难补助指标</w:t>
      </w:r>
      <w:r>
        <w:rPr>
          <w:rFonts w:hint="eastAsia" w:ascii="仿宋" w:hAnsi="仿宋" w:eastAsia="仿宋" w:cs="黑体"/>
          <w:color w:val="000000"/>
          <w:kern w:val="0"/>
          <w:sz w:val="32"/>
          <w:szCs w:val="32"/>
          <w:highlight w:val="none"/>
          <w:lang w:eastAsia="zh-CN"/>
        </w:rPr>
        <w:t>。</w:t>
      </w:r>
    </w:p>
    <w:p w14:paraId="4138A2F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、社会保障和就业支出（类）其他社会保障和就业支出（款）其他社会保障和就业支出（项）。</w:t>
      </w:r>
    </w:p>
    <w:p w14:paraId="21481BF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6.35</w:t>
      </w:r>
      <w:r>
        <w:rPr>
          <w:rFonts w:hint="eastAsia" w:ascii="仿宋_GB2312" w:hAnsi="仿宋_GB2312" w:eastAsia="仿宋_GB2312" w:cs="仿宋_GB2312"/>
          <w:sz w:val="32"/>
          <w:szCs w:val="32"/>
        </w:rPr>
        <w:t>万元，</w:t>
      </w:r>
      <w:r>
        <w:rPr>
          <w:rFonts w:hint="eastAsia" w:ascii="仿宋" w:hAnsi="仿宋" w:eastAsia="仿宋" w:cs="黑体"/>
          <w:color w:val="000000"/>
          <w:kern w:val="0"/>
          <w:sz w:val="32"/>
          <w:szCs w:val="32"/>
          <w:highlight w:val="none"/>
          <w:lang w:val="en-US" w:eastAsia="zh-CN"/>
        </w:rPr>
        <w:t>由于年初预算数为0，无法计算完成百分比</w:t>
      </w:r>
      <w:r>
        <w:rPr>
          <w:rFonts w:hint="eastAsia" w:ascii="仿宋" w:hAnsi="仿宋" w:eastAsia="仿宋" w:cs="黑体"/>
          <w:color w:val="000000"/>
          <w:kern w:val="0"/>
          <w:sz w:val="32"/>
          <w:szCs w:val="32"/>
          <w:highlight w:val="none"/>
          <w:lang w:eastAsia="zh-CN"/>
        </w:rPr>
        <w:t>，决算数大于年初预算数的主要原因是：追加了工伤保险费指标。</w:t>
      </w:r>
    </w:p>
    <w:p w14:paraId="05A065F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、卫生健康支出（类）行政事业单位医疗（款）行政单位医疗（项）。</w:t>
      </w:r>
    </w:p>
    <w:p w14:paraId="0CEC969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414.59</w:t>
      </w:r>
      <w:r>
        <w:rPr>
          <w:rFonts w:hint="eastAsia" w:ascii="仿宋_GB2312" w:hAnsi="仿宋_GB2312" w:eastAsia="仿宋_GB2312" w:cs="仿宋_GB2312"/>
          <w:sz w:val="32"/>
          <w:szCs w:val="32"/>
        </w:rPr>
        <w:t>万元，支出决算为413.91万元，完成年初预算的</w:t>
      </w:r>
      <w:r>
        <w:rPr>
          <w:rFonts w:hint="eastAsia" w:ascii="仿宋_GB2312" w:hAnsi="仿宋_GB2312" w:eastAsia="仿宋_GB2312" w:cs="仿宋_GB2312"/>
          <w:sz w:val="32"/>
          <w:szCs w:val="32"/>
          <w:lang w:val="en-US" w:eastAsia="zh-CN"/>
        </w:rPr>
        <w:t>99.84</w:t>
      </w:r>
      <w:r>
        <w:rPr>
          <w:rFonts w:hint="eastAsia" w:ascii="仿宋_GB2312" w:hAnsi="仿宋_GB2312" w:eastAsia="仿宋_GB2312" w:cs="仿宋_GB2312"/>
          <w:sz w:val="32"/>
          <w:szCs w:val="32"/>
        </w:rPr>
        <w:t>%，决算数小于年初预算数的</w:t>
      </w:r>
      <w:r>
        <w:rPr>
          <w:rFonts w:hint="eastAsia" w:ascii="仿宋" w:hAnsi="仿宋" w:eastAsia="仿宋" w:cs="黑体"/>
          <w:color w:val="000000"/>
          <w:kern w:val="0"/>
          <w:sz w:val="32"/>
          <w:szCs w:val="32"/>
          <w:highlight w:val="none"/>
          <w:lang w:eastAsia="zh-CN"/>
        </w:rPr>
        <w:t>主要原因是：</w:t>
      </w:r>
      <w:r>
        <w:rPr>
          <w:rFonts w:hint="eastAsia" w:ascii="仿宋" w:hAnsi="仿宋" w:eastAsia="仿宋" w:cs="黑体"/>
          <w:color w:val="000000"/>
          <w:kern w:val="0"/>
          <w:sz w:val="32"/>
          <w:szCs w:val="32"/>
          <w:highlight w:val="none"/>
          <w:lang w:val="en-US" w:eastAsia="zh-CN"/>
        </w:rPr>
        <w:t>年中人员退休，在职人员减少</w:t>
      </w:r>
      <w:r>
        <w:rPr>
          <w:rFonts w:hint="eastAsia" w:ascii="仿宋" w:hAnsi="仿宋" w:eastAsia="仿宋" w:cs="黑体"/>
          <w:color w:val="000000"/>
          <w:kern w:val="0"/>
          <w:sz w:val="32"/>
          <w:szCs w:val="32"/>
          <w:highlight w:val="none"/>
          <w:lang w:eastAsia="zh-CN"/>
        </w:rPr>
        <w:t>。</w:t>
      </w:r>
    </w:p>
    <w:p w14:paraId="1CA6B945">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、卫生健康支出（类）行政事业单位医疗（款）公务员医疗补助（项）。</w:t>
      </w:r>
    </w:p>
    <w:p w14:paraId="7A33049E">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54.55</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万元，完成年初预算的</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%，决算数小于年初预算数的</w:t>
      </w:r>
      <w:r>
        <w:rPr>
          <w:rFonts w:hint="eastAsia" w:ascii="仿宋" w:hAnsi="仿宋" w:eastAsia="仿宋" w:cs="黑体"/>
          <w:color w:val="000000"/>
          <w:kern w:val="0"/>
          <w:sz w:val="32"/>
          <w:szCs w:val="32"/>
          <w:highlight w:val="none"/>
          <w:lang w:eastAsia="zh-CN"/>
        </w:rPr>
        <w:t>主要原因是：</w:t>
      </w:r>
      <w:r>
        <w:rPr>
          <w:rFonts w:hint="eastAsia" w:ascii="仿宋" w:hAnsi="仿宋" w:eastAsia="仿宋" w:cs="黑体"/>
          <w:color w:val="000000"/>
          <w:kern w:val="0"/>
          <w:sz w:val="32"/>
          <w:szCs w:val="32"/>
          <w:highlight w:val="none"/>
          <w:lang w:val="en-US" w:eastAsia="zh-CN"/>
        </w:rPr>
        <w:t>本年度未发生相关支出</w:t>
      </w:r>
      <w:r>
        <w:rPr>
          <w:rFonts w:hint="eastAsia" w:ascii="仿宋" w:hAnsi="仿宋" w:eastAsia="仿宋" w:cs="黑体"/>
          <w:color w:val="000000"/>
          <w:kern w:val="0"/>
          <w:sz w:val="32"/>
          <w:szCs w:val="32"/>
          <w:highlight w:val="none"/>
          <w:lang w:eastAsia="zh-CN"/>
        </w:rPr>
        <w:t>。</w:t>
      </w:r>
    </w:p>
    <w:p w14:paraId="33036111">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、城乡社区支出（类）城乡社区管理事务（款）城管执法（项）。</w:t>
      </w:r>
    </w:p>
    <w:p w14:paraId="1308515F">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年初预算为6597.78万元，支出决算为5601.43万元，完成年初预算的</w:t>
      </w:r>
      <w:r>
        <w:rPr>
          <w:rFonts w:hint="eastAsia" w:ascii="仿宋_GB2312" w:hAnsi="仿宋_GB2312" w:eastAsia="仿宋_GB2312" w:cs="仿宋_GB2312"/>
          <w:sz w:val="32"/>
          <w:szCs w:val="32"/>
          <w:lang w:val="en-US" w:eastAsia="zh-CN"/>
        </w:rPr>
        <w:t>84.90</w:t>
      </w:r>
      <w:r>
        <w:rPr>
          <w:rFonts w:hint="eastAsia" w:ascii="仿宋_GB2312" w:hAnsi="仿宋_GB2312" w:eastAsia="仿宋_GB2312" w:cs="仿宋_GB2312"/>
          <w:sz w:val="32"/>
          <w:szCs w:val="32"/>
        </w:rPr>
        <w:t>%，决算数小于年初预算数的主要原因是：</w:t>
      </w:r>
      <w:r>
        <w:rPr>
          <w:rFonts w:hint="eastAsia" w:ascii="仿宋_GB2312" w:hAnsi="仿宋_GB2312" w:eastAsia="仿宋_GB2312" w:cs="仿宋_GB2312"/>
          <w:sz w:val="32"/>
          <w:szCs w:val="32"/>
          <w:lang w:val="en-US" w:eastAsia="zh-CN"/>
        </w:rPr>
        <w:t>决算部分计入行政运行、</w:t>
      </w:r>
      <w:r>
        <w:rPr>
          <w:rFonts w:hint="eastAsia" w:ascii="仿宋_GB2312" w:hAnsi="仿宋_GB2312" w:eastAsia="仿宋_GB2312" w:cs="仿宋_GB2312"/>
          <w:sz w:val="32"/>
          <w:szCs w:val="32"/>
        </w:rPr>
        <w:t>城乡社区规划与管理</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其他城乡社区支出</w:t>
      </w:r>
      <w:r>
        <w:rPr>
          <w:rFonts w:hint="eastAsia" w:ascii="仿宋_GB2312" w:hAnsi="仿宋_GB2312" w:eastAsia="仿宋_GB2312" w:cs="仿宋_GB2312"/>
          <w:sz w:val="32"/>
          <w:szCs w:val="32"/>
          <w:lang w:val="en-US" w:eastAsia="zh-CN"/>
        </w:rPr>
        <w:t>。</w:t>
      </w:r>
    </w:p>
    <w:p w14:paraId="6E7B6CFA">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8</w:t>
      </w:r>
      <w:r>
        <w:rPr>
          <w:rFonts w:hint="eastAsia" w:ascii="仿宋_GB2312" w:hAnsi="仿宋_GB2312" w:eastAsia="仿宋_GB2312" w:cs="仿宋_GB2312"/>
          <w:sz w:val="32"/>
          <w:szCs w:val="32"/>
        </w:rPr>
        <w:t>、城乡社区支出（类）城乡社区管理事务（款）行政运行（项）。</w:t>
      </w:r>
    </w:p>
    <w:p w14:paraId="1A63E54B">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万元，支出决算为610.86万元，</w:t>
      </w:r>
      <w:r>
        <w:rPr>
          <w:rFonts w:hint="eastAsia" w:ascii="仿宋" w:hAnsi="仿宋" w:eastAsia="仿宋" w:cs="黑体"/>
          <w:color w:val="000000"/>
          <w:kern w:val="0"/>
          <w:sz w:val="32"/>
          <w:szCs w:val="32"/>
          <w:highlight w:val="none"/>
          <w:lang w:val="en-US" w:eastAsia="zh-CN"/>
        </w:rPr>
        <w:t>由于年初预算数为0，无法计</w:t>
      </w:r>
      <w:r>
        <w:rPr>
          <w:rFonts w:hint="eastAsia" w:ascii="仿宋_GB2312" w:hAnsi="仿宋_GB2312" w:eastAsia="仿宋_GB2312" w:cs="仿宋_GB2312"/>
          <w:sz w:val="32"/>
          <w:szCs w:val="32"/>
          <w:lang w:val="en-US" w:eastAsia="zh-CN"/>
        </w:rPr>
        <w:t>算完成百分比</w:t>
      </w:r>
      <w:r>
        <w:rPr>
          <w:rFonts w:hint="eastAsia" w:ascii="仿宋_GB2312" w:hAnsi="仿宋_GB2312" w:eastAsia="仿宋_GB2312" w:cs="仿宋_GB2312"/>
          <w:sz w:val="32"/>
          <w:szCs w:val="32"/>
          <w:lang w:eastAsia="zh-CN"/>
        </w:rPr>
        <w:t>，决算数大于年初预算数的主要原因是：</w:t>
      </w:r>
      <w:r>
        <w:rPr>
          <w:rFonts w:hint="eastAsia" w:ascii="仿宋_GB2312" w:hAnsi="仿宋_GB2312" w:eastAsia="仿宋_GB2312" w:cs="仿宋_GB2312"/>
          <w:sz w:val="32"/>
          <w:szCs w:val="32"/>
          <w:lang w:val="en-US" w:eastAsia="zh-CN"/>
        </w:rPr>
        <w:t>预算计入</w:t>
      </w:r>
      <w:r>
        <w:rPr>
          <w:rFonts w:hint="eastAsia" w:ascii="仿宋_GB2312" w:hAnsi="仿宋_GB2312" w:eastAsia="仿宋_GB2312" w:cs="仿宋_GB2312"/>
          <w:sz w:val="32"/>
          <w:szCs w:val="32"/>
        </w:rPr>
        <w:t>城管执法</w:t>
      </w:r>
      <w:r>
        <w:rPr>
          <w:rFonts w:hint="eastAsia" w:ascii="仿宋_GB2312" w:hAnsi="仿宋_GB2312" w:eastAsia="仿宋_GB2312" w:cs="仿宋_GB2312"/>
          <w:sz w:val="32"/>
          <w:szCs w:val="32"/>
          <w:lang w:eastAsia="zh-CN"/>
        </w:rPr>
        <w:t>。</w:t>
      </w:r>
    </w:p>
    <w:p w14:paraId="5A589172">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、城乡社区支出（类）城乡社区规划与管理（款）城乡社区规划与管理（项）。</w:t>
      </w:r>
    </w:p>
    <w:p w14:paraId="3901E55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17.16</w:t>
      </w:r>
      <w:r>
        <w:rPr>
          <w:rFonts w:hint="eastAsia" w:ascii="仿宋_GB2312" w:hAnsi="仿宋_GB2312" w:eastAsia="仿宋_GB2312" w:cs="仿宋_GB2312"/>
          <w:sz w:val="32"/>
          <w:szCs w:val="32"/>
        </w:rPr>
        <w:t>万元，</w:t>
      </w:r>
      <w:r>
        <w:rPr>
          <w:rFonts w:hint="eastAsia" w:ascii="仿宋" w:hAnsi="仿宋" w:eastAsia="仿宋" w:cs="黑体"/>
          <w:color w:val="000000"/>
          <w:kern w:val="0"/>
          <w:sz w:val="32"/>
          <w:szCs w:val="32"/>
          <w:highlight w:val="none"/>
          <w:lang w:val="en-US" w:eastAsia="zh-CN"/>
        </w:rPr>
        <w:t>由于年初预算数为0，无法计</w:t>
      </w:r>
      <w:r>
        <w:rPr>
          <w:rFonts w:hint="eastAsia" w:ascii="仿宋_GB2312" w:hAnsi="仿宋_GB2312" w:eastAsia="仿宋_GB2312" w:cs="仿宋_GB2312"/>
          <w:sz w:val="32"/>
          <w:szCs w:val="32"/>
          <w:lang w:val="en-US" w:eastAsia="zh-CN"/>
        </w:rPr>
        <w:t>算完成百分比</w:t>
      </w:r>
      <w:r>
        <w:rPr>
          <w:rFonts w:hint="eastAsia" w:ascii="仿宋_GB2312" w:hAnsi="仿宋_GB2312" w:eastAsia="仿宋_GB2312" w:cs="仿宋_GB2312"/>
          <w:sz w:val="32"/>
          <w:szCs w:val="32"/>
          <w:lang w:eastAsia="zh-CN"/>
        </w:rPr>
        <w:t>，决算数大于年初预算数的主要原因是：</w:t>
      </w:r>
      <w:r>
        <w:rPr>
          <w:rFonts w:hint="eastAsia" w:ascii="仿宋_GB2312" w:hAnsi="仿宋_GB2312" w:eastAsia="仿宋_GB2312" w:cs="仿宋_GB2312"/>
          <w:sz w:val="32"/>
          <w:szCs w:val="32"/>
          <w:lang w:val="en-US" w:eastAsia="zh-CN"/>
        </w:rPr>
        <w:t>预算计入</w:t>
      </w:r>
      <w:r>
        <w:rPr>
          <w:rFonts w:hint="eastAsia" w:ascii="仿宋_GB2312" w:hAnsi="仿宋_GB2312" w:eastAsia="仿宋_GB2312" w:cs="仿宋_GB2312"/>
          <w:sz w:val="32"/>
          <w:szCs w:val="32"/>
        </w:rPr>
        <w:t>城管执法</w:t>
      </w:r>
      <w:r>
        <w:rPr>
          <w:rFonts w:hint="eastAsia" w:ascii="仿宋_GB2312" w:hAnsi="仿宋_GB2312" w:eastAsia="仿宋_GB2312" w:cs="仿宋_GB2312"/>
          <w:sz w:val="32"/>
          <w:szCs w:val="32"/>
          <w:lang w:eastAsia="zh-CN"/>
        </w:rPr>
        <w:t>。</w:t>
      </w:r>
    </w:p>
    <w:p w14:paraId="3C5E89C4">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、城乡社区支出（类）其他城乡社区支出（款）其他城乡社区支出（项）。</w:t>
      </w:r>
    </w:p>
    <w:p w14:paraId="4D38E073">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万元，支出决算为</w:t>
      </w:r>
      <w:r>
        <w:rPr>
          <w:rFonts w:hint="eastAsia" w:ascii="仿宋_GB2312" w:hAnsi="仿宋_GB2312" w:eastAsia="仿宋_GB2312" w:cs="仿宋_GB2312"/>
          <w:sz w:val="32"/>
          <w:szCs w:val="32"/>
          <w:lang w:val="en-US" w:eastAsia="zh-CN"/>
        </w:rPr>
        <w:t>25.94</w:t>
      </w:r>
      <w:r>
        <w:rPr>
          <w:rFonts w:hint="eastAsia" w:ascii="仿宋_GB2312" w:hAnsi="仿宋_GB2312" w:eastAsia="仿宋_GB2312" w:cs="仿宋_GB2312"/>
          <w:sz w:val="32"/>
          <w:szCs w:val="32"/>
        </w:rPr>
        <w:t>万元，</w:t>
      </w:r>
      <w:r>
        <w:rPr>
          <w:rFonts w:hint="eastAsia" w:ascii="仿宋" w:hAnsi="仿宋" w:eastAsia="仿宋" w:cs="黑体"/>
          <w:color w:val="000000"/>
          <w:kern w:val="0"/>
          <w:sz w:val="32"/>
          <w:szCs w:val="32"/>
          <w:highlight w:val="none"/>
          <w:lang w:val="en-US" w:eastAsia="zh-CN"/>
        </w:rPr>
        <w:t>由于年初预算数为0，无法计</w:t>
      </w:r>
      <w:r>
        <w:rPr>
          <w:rFonts w:hint="eastAsia" w:ascii="仿宋_GB2312" w:hAnsi="仿宋_GB2312" w:eastAsia="仿宋_GB2312" w:cs="仿宋_GB2312"/>
          <w:sz w:val="32"/>
          <w:szCs w:val="32"/>
          <w:lang w:val="en-US" w:eastAsia="zh-CN"/>
        </w:rPr>
        <w:t>算完成百分比</w:t>
      </w:r>
      <w:r>
        <w:rPr>
          <w:rFonts w:hint="eastAsia" w:ascii="仿宋_GB2312" w:hAnsi="仿宋_GB2312" w:eastAsia="仿宋_GB2312" w:cs="仿宋_GB2312"/>
          <w:sz w:val="32"/>
          <w:szCs w:val="32"/>
          <w:lang w:eastAsia="zh-CN"/>
        </w:rPr>
        <w:t>，决算数大于年初预算数的主要原因是：</w:t>
      </w:r>
      <w:r>
        <w:rPr>
          <w:rFonts w:hint="eastAsia" w:ascii="仿宋_GB2312" w:hAnsi="仿宋_GB2312" w:eastAsia="仿宋_GB2312" w:cs="仿宋_GB2312"/>
          <w:sz w:val="32"/>
          <w:szCs w:val="32"/>
          <w:lang w:val="en-US" w:eastAsia="zh-CN"/>
        </w:rPr>
        <w:t>预算计入</w:t>
      </w:r>
      <w:r>
        <w:rPr>
          <w:rFonts w:hint="eastAsia" w:ascii="仿宋_GB2312" w:hAnsi="仿宋_GB2312" w:eastAsia="仿宋_GB2312" w:cs="仿宋_GB2312"/>
          <w:sz w:val="32"/>
          <w:szCs w:val="32"/>
        </w:rPr>
        <w:t>城管执法</w:t>
      </w:r>
      <w:r>
        <w:rPr>
          <w:rFonts w:hint="eastAsia" w:ascii="仿宋_GB2312" w:hAnsi="仿宋_GB2312" w:eastAsia="仿宋_GB2312" w:cs="仿宋_GB2312"/>
          <w:sz w:val="32"/>
          <w:szCs w:val="32"/>
          <w:lang w:eastAsia="zh-CN"/>
        </w:rPr>
        <w:t>。</w:t>
      </w:r>
    </w:p>
    <w:p w14:paraId="50AF09BD">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11</w:t>
      </w:r>
      <w:r>
        <w:rPr>
          <w:rFonts w:hint="eastAsia" w:ascii="仿宋_GB2312" w:hAnsi="仿宋_GB2312" w:eastAsia="仿宋_GB2312" w:cs="仿宋_GB2312"/>
          <w:sz w:val="32"/>
          <w:szCs w:val="32"/>
        </w:rPr>
        <w:t>、住房保障支出（类）住房改革支出（款）住房公积金（项）。</w:t>
      </w:r>
    </w:p>
    <w:p w14:paraId="13E097F6">
      <w:pPr>
        <w:pStyle w:val="12"/>
        <w:keepNext w:val="0"/>
        <w:keepLines w:val="0"/>
        <w:pageBreakBefore w:val="0"/>
        <w:widowControl w:val="0"/>
        <w:kinsoku/>
        <w:wordWrap/>
        <w:overflowPunct/>
        <w:topLinePunct w:val="0"/>
        <w:bidi w:val="0"/>
        <w:snapToGrid/>
        <w:spacing w:line="600" w:lineRule="exact"/>
        <w:ind w:firstLine="800" w:firstLineChars="25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年初预算为</w:t>
      </w:r>
      <w:r>
        <w:rPr>
          <w:rFonts w:hint="eastAsia" w:ascii="仿宋_GB2312" w:hAnsi="仿宋_GB2312" w:eastAsia="仿宋_GB2312" w:cs="仿宋_GB2312"/>
          <w:sz w:val="32"/>
          <w:szCs w:val="32"/>
          <w:lang w:val="en-US" w:eastAsia="zh-CN"/>
        </w:rPr>
        <w:t>527.91</w:t>
      </w:r>
      <w:r>
        <w:rPr>
          <w:rFonts w:hint="eastAsia" w:ascii="仿宋_GB2312" w:hAnsi="仿宋_GB2312" w:eastAsia="仿宋_GB2312" w:cs="仿宋_GB2312"/>
          <w:sz w:val="32"/>
          <w:szCs w:val="32"/>
        </w:rPr>
        <w:t>万元，支出决算为514.27万元，完成年初预算的</w:t>
      </w:r>
      <w:r>
        <w:rPr>
          <w:rFonts w:hint="eastAsia" w:ascii="仿宋_GB2312" w:hAnsi="仿宋_GB2312" w:eastAsia="仿宋_GB2312" w:cs="仿宋_GB2312"/>
          <w:sz w:val="32"/>
          <w:szCs w:val="32"/>
          <w:lang w:val="en-US" w:eastAsia="zh-CN"/>
        </w:rPr>
        <w:t>97.42</w:t>
      </w:r>
      <w:r>
        <w:rPr>
          <w:rFonts w:hint="eastAsia" w:ascii="仿宋_GB2312" w:hAnsi="仿宋_GB2312" w:eastAsia="仿宋_GB2312" w:cs="仿宋_GB2312"/>
          <w:sz w:val="32"/>
          <w:szCs w:val="32"/>
        </w:rPr>
        <w:t>%，决算数小于年初预算数的</w:t>
      </w:r>
      <w:r>
        <w:rPr>
          <w:rFonts w:hint="eastAsia" w:ascii="仿宋" w:hAnsi="仿宋" w:eastAsia="仿宋" w:cs="黑体"/>
          <w:color w:val="000000"/>
          <w:kern w:val="0"/>
          <w:sz w:val="32"/>
          <w:szCs w:val="32"/>
          <w:highlight w:val="none"/>
          <w:lang w:eastAsia="zh-CN"/>
        </w:rPr>
        <w:t>主要原因是：</w:t>
      </w:r>
      <w:r>
        <w:rPr>
          <w:rFonts w:hint="eastAsia" w:ascii="仿宋" w:hAnsi="仿宋" w:eastAsia="仿宋" w:cs="黑体"/>
          <w:color w:val="000000"/>
          <w:kern w:val="0"/>
          <w:sz w:val="32"/>
          <w:szCs w:val="32"/>
          <w:highlight w:val="none"/>
          <w:lang w:val="en-US" w:eastAsia="zh-CN"/>
        </w:rPr>
        <w:t>年中人员退休，在职人员减少</w:t>
      </w:r>
      <w:r>
        <w:rPr>
          <w:rFonts w:hint="eastAsia" w:ascii="仿宋" w:hAnsi="仿宋" w:eastAsia="仿宋" w:cs="黑体"/>
          <w:color w:val="000000"/>
          <w:kern w:val="0"/>
          <w:sz w:val="32"/>
          <w:szCs w:val="32"/>
          <w:highlight w:val="none"/>
          <w:lang w:eastAsia="zh-CN"/>
        </w:rPr>
        <w:t>。</w:t>
      </w:r>
    </w:p>
    <w:p w14:paraId="1A0AC213">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六、一般公共预算财政拨款基本支出决算情况说明</w:t>
      </w:r>
    </w:p>
    <w:p w14:paraId="13EF3DE4">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w:t>
      </w:r>
      <w:r>
        <w:rPr>
          <w:rFonts w:hint="eastAsia" w:ascii="仿宋_GB2312" w:hAnsi="仿宋_GB2312" w:eastAsia="仿宋_GB2312" w:cs="仿宋_GB2312"/>
          <w:sz w:val="32"/>
          <w:szCs w:val="32"/>
          <w:lang w:eastAsia="zh-CN"/>
        </w:rPr>
        <w:t>一般公共预算</w:t>
      </w:r>
      <w:r>
        <w:rPr>
          <w:rFonts w:hint="eastAsia" w:ascii="仿宋_GB2312" w:hAnsi="仿宋_GB2312" w:eastAsia="仿宋_GB2312" w:cs="仿宋_GB2312"/>
          <w:sz w:val="32"/>
          <w:szCs w:val="32"/>
        </w:rPr>
        <w:t>财政拨款基本支出7574.22万元，其中：</w:t>
      </w:r>
    </w:p>
    <w:p w14:paraId="64430481">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FF0000"/>
          <w:sz w:val="32"/>
          <w:szCs w:val="32"/>
          <w:lang w:eastAsia="zh-CN"/>
        </w:rPr>
      </w:pPr>
      <w:r>
        <w:rPr>
          <w:rFonts w:hint="eastAsia" w:ascii="仿宋_GB2312" w:hAnsi="仿宋_GB2312" w:eastAsia="仿宋_GB2312" w:cs="仿宋_GB2312"/>
          <w:b/>
          <w:bCs/>
          <w:sz w:val="32"/>
          <w:szCs w:val="32"/>
        </w:rPr>
        <w:t>人员经费</w:t>
      </w:r>
      <w:r>
        <w:rPr>
          <w:rFonts w:hint="eastAsia" w:ascii="仿宋_GB2312" w:hAnsi="仿宋_GB2312" w:eastAsia="仿宋_GB2312" w:cs="仿宋_GB2312"/>
          <w:sz w:val="32"/>
          <w:szCs w:val="32"/>
        </w:rPr>
        <w:t>7027.8</w:t>
      </w:r>
      <w:r>
        <w:rPr>
          <w:rFonts w:hint="eastAsia" w:ascii="仿宋_GB2312" w:hAnsi="仿宋_GB2312" w:eastAsia="仿宋_GB2312" w:cs="仿宋_GB2312"/>
          <w:sz w:val="32"/>
          <w:szCs w:val="32"/>
          <w:lang w:val="en-US" w:eastAsia="zh-CN"/>
        </w:rPr>
        <w:t>0</w:t>
      </w:r>
      <w:r>
        <w:rPr>
          <w:rFonts w:hint="eastAsia" w:ascii="仿宋_GB2312" w:hAnsi="仿宋_GB2312" w:eastAsia="仿宋_GB2312" w:cs="仿宋_GB2312"/>
          <w:sz w:val="32"/>
          <w:szCs w:val="32"/>
        </w:rPr>
        <w:t>万元，占基本支出的</w:t>
      </w:r>
      <w:r>
        <w:rPr>
          <w:rFonts w:hint="eastAsia" w:ascii="仿宋_GB2312" w:hAnsi="仿宋_GB2312" w:eastAsia="仿宋_GB2312" w:cs="仿宋_GB2312"/>
          <w:sz w:val="32"/>
          <w:szCs w:val="32"/>
          <w:lang w:val="en-US" w:eastAsia="zh-CN"/>
        </w:rPr>
        <w:t>92.79</w:t>
      </w:r>
      <w:r>
        <w:rPr>
          <w:rFonts w:hint="eastAsia" w:ascii="仿宋_GB2312" w:hAnsi="仿宋_GB2312" w:eastAsia="仿宋_GB2312" w:cs="仿宋_GB2312"/>
          <w:sz w:val="32"/>
          <w:szCs w:val="32"/>
        </w:rPr>
        <w:t>%,主要包括基本工资、津贴补贴、奖金、伙食补助费</w:t>
      </w:r>
      <w:r>
        <w:rPr>
          <w:rFonts w:hint="eastAsia" w:ascii="仿宋_GB2312" w:hAnsi="仿宋_GB2312" w:eastAsia="仿宋_GB2312" w:cs="仿宋_GB2312"/>
          <w:sz w:val="32"/>
          <w:szCs w:val="32"/>
          <w:lang w:eastAsia="zh-CN"/>
        </w:rPr>
        <w:t>、绩效工资、机关事业单位基本养老保险缴费、职工基本医疗保险缴费、其他社会保障缴费、住房公积金、退休费、生活补助、医疗费补助、其他对个人和家庭的补助。</w:t>
      </w:r>
    </w:p>
    <w:p w14:paraId="626D4A1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b w:val="0"/>
          <w:bCs/>
          <w:sz w:val="32"/>
          <w:szCs w:val="32"/>
        </w:rPr>
      </w:pPr>
      <w:r>
        <w:rPr>
          <w:rFonts w:hint="eastAsia" w:ascii="仿宋_GB2312" w:hAnsi="仿宋_GB2312" w:eastAsia="仿宋_GB2312" w:cs="仿宋_GB2312"/>
          <w:b/>
          <w:bCs/>
          <w:sz w:val="32"/>
          <w:szCs w:val="32"/>
        </w:rPr>
        <w:t>公用经费</w:t>
      </w:r>
      <w:r>
        <w:rPr>
          <w:rFonts w:hint="eastAsia" w:ascii="仿宋_GB2312" w:hAnsi="仿宋_GB2312" w:eastAsia="仿宋_GB2312" w:cs="仿宋_GB2312"/>
          <w:sz w:val="32"/>
          <w:szCs w:val="32"/>
        </w:rPr>
        <w:t>546.42万元，占基本支出的</w:t>
      </w:r>
      <w:r>
        <w:rPr>
          <w:rFonts w:hint="eastAsia" w:ascii="仿宋_GB2312" w:hAnsi="仿宋_GB2312" w:eastAsia="仿宋_GB2312" w:cs="仿宋_GB2312"/>
          <w:sz w:val="32"/>
          <w:szCs w:val="32"/>
          <w:lang w:val="en-US" w:eastAsia="zh-CN"/>
        </w:rPr>
        <w:t>7.21</w:t>
      </w:r>
      <w:r>
        <w:rPr>
          <w:rFonts w:hint="eastAsia" w:ascii="仿宋_GB2312" w:hAnsi="仿宋_GB2312" w:eastAsia="仿宋_GB2312" w:cs="仿宋_GB2312"/>
          <w:sz w:val="32"/>
          <w:szCs w:val="32"/>
        </w:rPr>
        <w:t>%，主要包括办公费、印刷费、水费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电费、邮电费、物业管理费、差旅费、维修（护）费、租赁费、会议费、培训费、劳务费、委托业务费、工会经费、福利费、公务用车运行维护费、其他交通费用、其他商品和服务支出、办公设备购置</w:t>
      </w:r>
      <w:r>
        <w:rPr>
          <w:rFonts w:hint="eastAsia" w:ascii="仿宋_GB2312" w:hAnsi="仿宋_GB2312" w:eastAsia="仿宋_GB2312" w:cs="仿宋_GB2312"/>
          <w:sz w:val="32"/>
          <w:szCs w:val="32"/>
        </w:rPr>
        <w:t>。</w:t>
      </w:r>
    </w:p>
    <w:p w14:paraId="55DA4028">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七、政府性基金预算收入支出决算情况</w:t>
      </w:r>
    </w:p>
    <w:p w14:paraId="01AEBDCA">
      <w:pPr>
        <w:keepNext w:val="0"/>
        <w:keepLines w:val="0"/>
        <w:pageBreakBefore w:val="0"/>
        <w:widowControl w:val="0"/>
        <w:kinsoku/>
        <w:wordWrap/>
        <w:overflowPunct/>
        <w:topLinePunct w:val="0"/>
        <w:autoSpaceDE w:val="0"/>
        <w:autoSpaceDN w:val="0"/>
        <w:bidi w:val="0"/>
        <w:adjustRightInd w:val="0"/>
        <w:snapToGrid/>
        <w:spacing w:line="600" w:lineRule="exact"/>
        <w:textAlignment w:val="auto"/>
        <w:rPr>
          <w:rFonts w:hint="eastAsia" w:ascii="黑体" w:hAnsi="黑体" w:eastAsia="黑体" w:cs="黑体"/>
          <w:b w:val="0"/>
          <w:bCs/>
          <w:color w:val="000000"/>
          <w:kern w:val="0"/>
          <w:sz w:val="32"/>
          <w:szCs w:val="32"/>
          <w:highlight w:val="none"/>
          <w:lang w:val="en-US" w:eastAsia="zh-CN" w:bidi="ar-SA"/>
        </w:rPr>
      </w:pPr>
      <w:r>
        <w:rPr>
          <w:rFonts w:hint="eastAsia" w:ascii="Times New Roman" w:hAnsi="Times New Roman" w:eastAsia="仿宋_GB2312"/>
          <w:sz w:val="32"/>
          <w:szCs w:val="32"/>
        </w:rPr>
        <w:t xml:space="preserve">   </w:t>
      </w:r>
      <w:r>
        <w:rPr>
          <w:rFonts w:hint="eastAsia" w:ascii="仿宋_GB2312" w:hAnsi="仿宋_GB2312" w:eastAsia="仿宋_GB2312" w:cs="仿宋_GB2312"/>
          <w:sz w:val="32"/>
          <w:szCs w:val="32"/>
          <w:lang w:val="en-US" w:eastAsia="zh-CN"/>
        </w:rPr>
        <w:t xml:space="preserve">  2025年度政府性基金预算财政拨款收入0.00万元；年初结转和结余0.00万元；支出0.00万元，其中基本支出0.00万元，项目支出0.00万元；年末结转和结余0.00万元。</w:t>
      </w:r>
    </w:p>
    <w:p w14:paraId="0782CB88">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黑体" w:hAnsi="黑体" w:eastAsia="黑体" w:cs="黑体"/>
          <w:b w:val="0"/>
          <w:bCs/>
          <w:color w:val="000000"/>
          <w:kern w:val="0"/>
          <w:sz w:val="32"/>
          <w:szCs w:val="32"/>
          <w:lang w:val="en-US" w:eastAsia="zh-CN" w:bidi="ar-SA"/>
        </w:rPr>
      </w:pPr>
      <w:r>
        <w:rPr>
          <w:rFonts w:hint="eastAsia" w:ascii="黑体" w:hAnsi="黑体" w:eastAsia="黑体" w:cs="黑体"/>
          <w:b w:val="0"/>
          <w:bCs/>
          <w:color w:val="000000"/>
          <w:kern w:val="0"/>
          <w:sz w:val="32"/>
          <w:szCs w:val="32"/>
          <w:lang w:val="en-US" w:eastAsia="zh-CN" w:bidi="ar-SA"/>
        </w:rPr>
        <w:t>八、国有资本经营预算财政拨款支出决算情况</w:t>
      </w:r>
    </w:p>
    <w:p w14:paraId="37C05AC3">
      <w:pPr>
        <w:keepNext w:val="0"/>
        <w:keepLines w:val="0"/>
        <w:pageBreakBefore w:val="0"/>
        <w:widowControl w:val="0"/>
        <w:kinsoku/>
        <w:wordWrap/>
        <w:overflowPunct/>
        <w:topLinePunct w:val="0"/>
        <w:autoSpaceDE w:val="0"/>
        <w:autoSpaceDN w:val="0"/>
        <w:bidi w:val="0"/>
        <w:adjustRightInd w:val="0"/>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2025年度国有资本经营预算财政拨款收入0.00万元；年初结转和结余0.00万；支出0.00万元，其中：基本支出0.00万元，项目支出0.00万元；年末结转和结余0.00万元。</w:t>
      </w:r>
    </w:p>
    <w:p w14:paraId="4C9277DF">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hAnsi="黑体" w:cs="黑体"/>
          <w:b w:val="0"/>
          <w:bCs/>
          <w:sz w:val="32"/>
          <w:szCs w:val="32"/>
          <w:lang w:eastAsia="zh-CN"/>
        </w:rPr>
        <w:t>九、</w:t>
      </w:r>
      <w:r>
        <w:rPr>
          <w:rFonts w:hint="eastAsia" w:ascii="黑体" w:hAnsi="黑体" w:eastAsia="黑体" w:cs="黑体"/>
          <w:b w:val="0"/>
          <w:bCs/>
          <w:sz w:val="32"/>
          <w:szCs w:val="32"/>
        </w:rPr>
        <w:t>财政拨款三公经费支出决算情况说明</w:t>
      </w:r>
    </w:p>
    <w:p w14:paraId="1CBF627E">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经费财政拨款支出决算总体情况说明</w:t>
      </w:r>
    </w:p>
    <w:p w14:paraId="7A179D9A">
      <w:pPr>
        <w:pStyle w:val="12"/>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度“三公”经费财政拨款支出预算为</w:t>
      </w:r>
      <w:r>
        <w:rPr>
          <w:rFonts w:hint="eastAsia" w:ascii="Times New Roman" w:hAnsi="Times New Roman" w:eastAsia="仿宋_GB2312" w:cs="Times New Roman"/>
          <w:sz w:val="32"/>
          <w:szCs w:val="32"/>
          <w:lang w:val="en-US" w:eastAsia="zh-CN"/>
        </w:rPr>
        <w:t>30.00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76.90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按有关政策厉行节约，严控“三公经费”支出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按有关政策厉行节约，严控“三公经费”支出</w:t>
      </w:r>
      <w:r>
        <w:rPr>
          <w:rFonts w:ascii="Times New Roman" w:hAnsi="Times New Roman" w:eastAsia="仿宋_GB2312" w:cs="Times New Roman"/>
          <w:sz w:val="32"/>
          <w:szCs w:val="32"/>
        </w:rPr>
        <w:t>。</w:t>
      </w:r>
    </w:p>
    <w:p w14:paraId="5293941F">
      <w:pPr>
        <w:pStyle w:val="12"/>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w:t>
      </w:r>
      <w:r>
        <w:rPr>
          <w:rFonts w:hint="eastAsia" w:ascii="Times New Roman" w:hAnsi="Times New Roman" w:eastAsia="楷体_GB2312" w:cs="Times New Roman"/>
          <w:b/>
          <w:sz w:val="32"/>
          <w:szCs w:val="32"/>
          <w:lang w:eastAsia="zh-CN"/>
        </w:rPr>
        <w:t>“三公”</w:t>
      </w:r>
      <w:r>
        <w:rPr>
          <w:rFonts w:ascii="Times New Roman" w:hAnsi="Times New Roman" w:eastAsia="楷体_GB2312" w:cs="Times New Roman"/>
          <w:b/>
          <w:sz w:val="32"/>
          <w:szCs w:val="32"/>
        </w:rPr>
        <w:t>经费财政拨款支出决算具体情况说明</w:t>
      </w:r>
    </w:p>
    <w:p w14:paraId="24C02479">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决算数等于预算数</w:t>
      </w:r>
      <w:r>
        <w:rPr>
          <w:rFonts w:hint="eastAsia" w:ascii="Times New Roman" w:hAnsi="Times New Roman" w:eastAsia="仿宋_GB2312" w:cs="Times New Roman"/>
          <w:sz w:val="32"/>
          <w:szCs w:val="32"/>
          <w:lang w:val="en-US" w:eastAsia="zh-CN"/>
        </w:rPr>
        <w:t>，主要原因是我单位严格按预算执行决算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与上年一致，无增减变动，主要原因是未安排因公出国（境）活动。</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度安排因公出国（境）团组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个，累计</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人次</w:t>
      </w:r>
      <w:r>
        <w:rPr>
          <w:rFonts w:hint="eastAsia" w:ascii="Times New Roman" w:hAnsi="Times New Roman" w:eastAsia="仿宋_GB2312" w:cs="Times New Roman"/>
          <w:sz w:val="32"/>
          <w:szCs w:val="32"/>
          <w:lang w:eastAsia="zh-CN"/>
        </w:rPr>
        <w:t>。</w:t>
      </w:r>
    </w:p>
    <w:p w14:paraId="4D2B484A">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30.00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8.96</w:t>
      </w:r>
      <w:r>
        <w:rPr>
          <w:rFonts w:ascii="Times New Roman" w:hAnsi="Times New Roman" w:eastAsia="仿宋_GB2312" w:cs="Times New Roman"/>
          <w:sz w:val="32"/>
          <w:szCs w:val="32"/>
        </w:rPr>
        <w:t>%。其中：</w:t>
      </w:r>
    </w:p>
    <w:p w14:paraId="5A40B5A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决算数等于预算数，主要原因是我单位严格按预算执行决算</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与上年一致，无增减变动，主要原因是两年均未购置公务用车。本单位</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hint="eastAsia" w:ascii="Times New Roman" w:hAnsi="Times New Roman" w:eastAsia="仿宋_GB2312" w:cs="Times New Roman"/>
          <w:sz w:val="32"/>
          <w:szCs w:val="32"/>
          <w:lang w:eastAsia="zh-CN"/>
        </w:rPr>
        <w:t>。</w:t>
      </w:r>
    </w:p>
    <w:p w14:paraId="48060639">
      <w:pPr>
        <w:pStyle w:val="12"/>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30.00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23.07</w:t>
      </w:r>
      <w:r>
        <w:rPr>
          <w:rFonts w:ascii="Times New Roman" w:hAnsi="Times New Roman" w:eastAsia="仿宋_GB2312" w:cs="Times New Roman"/>
          <w:sz w:val="32"/>
          <w:szCs w:val="32"/>
        </w:rPr>
        <w:t>万元，</w:t>
      </w:r>
    </w:p>
    <w:p w14:paraId="3DD62E4E">
      <w:pPr>
        <w:pStyle w:val="12"/>
        <w:overflowPunct w:val="0"/>
        <w:autoSpaceDE/>
        <w:autoSpaceDN/>
        <w:spacing w:line="600" w:lineRule="exact"/>
        <w:ind w:firstLine="640" w:firstLineChars="200"/>
        <w:jc w:val="both"/>
        <w:rPr>
          <w:rFonts w:ascii="Times New Roman" w:hAnsi="Times New Roman" w:eastAsia="楷体" w:cs="Times New Roman"/>
          <w:b/>
          <w:bCs/>
          <w:i/>
          <w:color w:val="FF0000"/>
          <w:sz w:val="32"/>
          <w:szCs w:val="32"/>
        </w:rPr>
      </w:pPr>
      <w:r>
        <w:rPr>
          <w:rFonts w:ascii="Times New Roman" w:hAnsi="Times New Roman" w:eastAsia="仿宋_GB2312" w:cs="Times New Roman"/>
          <w:sz w:val="32"/>
          <w:szCs w:val="32"/>
        </w:rPr>
        <w:t>主要是</w:t>
      </w:r>
      <w:r>
        <w:rPr>
          <w:rFonts w:hint="eastAsia" w:ascii="Times New Roman" w:hAnsi="Times New Roman" w:eastAsia="仿宋_GB2312" w:cs="Times New Roman"/>
          <w:sz w:val="32"/>
          <w:szCs w:val="32"/>
          <w:lang w:val="en-US" w:eastAsia="zh-CN"/>
        </w:rPr>
        <w:t>公务用车油料、保险、维修等</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76.90</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2.27</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8.96</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按有关政策厉行节约，严控“三公经费”支出</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按有关政策厉行节约，严控“三公经费”支出</w:t>
      </w:r>
      <w:r>
        <w:rPr>
          <w:rFonts w:ascii="Times New Roman" w:hAnsi="Times New Roman" w:eastAsia="仿宋_GB2312" w:cs="Times New Roman"/>
          <w:sz w:val="32"/>
          <w:szCs w:val="32"/>
        </w:rPr>
        <w:t>。</w:t>
      </w:r>
      <w:r>
        <w:rPr>
          <w:rFonts w:ascii="Times New Roman" w:hAnsi="Times New Roman" w:eastAsia="仿宋_GB2312" w:cs="Times New Roman"/>
          <w:sz w:val="32"/>
          <w:szCs w:val="32"/>
          <w:highlight w:val="none"/>
        </w:rPr>
        <w:t>截止</w:t>
      </w:r>
      <w:r>
        <w:rPr>
          <w:rFonts w:hint="eastAsia" w:ascii="Times New Roman" w:hAnsi="Times New Roman" w:eastAsia="仿宋_GB2312" w:cs="Times New Roman"/>
          <w:sz w:val="32"/>
          <w:szCs w:val="32"/>
          <w:highlight w:val="none"/>
          <w:lang w:eastAsia="zh-CN"/>
        </w:rPr>
        <w:t>到</w:t>
      </w: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12月31日，我单位开支财政拨款的公务用车保有</w:t>
      </w:r>
      <w:r>
        <w:rPr>
          <w:rFonts w:ascii="Times New Roman" w:hAnsi="Times New Roman" w:eastAsia="仿宋_GB2312" w:cs="Times New Roman"/>
          <w:color w:val="auto"/>
          <w:sz w:val="32"/>
          <w:szCs w:val="32"/>
          <w:highlight w:val="none"/>
        </w:rPr>
        <w:t>量为</w:t>
      </w:r>
      <w:r>
        <w:rPr>
          <w:rFonts w:hint="eastAsia" w:ascii="Times New Roman" w:hAnsi="Times New Roman" w:eastAsia="仿宋_GB2312" w:cs="Times New Roman"/>
          <w:color w:val="auto"/>
          <w:sz w:val="32"/>
          <w:szCs w:val="32"/>
          <w:highlight w:val="none"/>
          <w:lang w:val="en-US" w:eastAsia="zh-CN"/>
        </w:rPr>
        <w:t>10</w:t>
      </w:r>
      <w:r>
        <w:rPr>
          <w:rFonts w:ascii="Times New Roman" w:hAnsi="Times New Roman" w:eastAsia="仿宋_GB2312" w:cs="Times New Roman"/>
          <w:color w:val="auto"/>
          <w:sz w:val="32"/>
          <w:szCs w:val="32"/>
          <w:highlight w:val="none"/>
        </w:rPr>
        <w:t>辆。</w:t>
      </w:r>
    </w:p>
    <w:p w14:paraId="3EB67F1E">
      <w:pPr>
        <w:pStyle w:val="12"/>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公务接待费支出预算为0.00万元，支出决算为0.00万元，决算数等于预算数，主要原因是严格执行中央八项规定；与上年一致，无增减变动，主要原因是按有关政策厉行节约，严控公务接待支出。2025年度共接待来访团组0个、来宾0人次。</w:t>
      </w:r>
    </w:p>
    <w:p w14:paraId="773E4CB5">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ascii="Times New Roman" w:hAnsi="Times New Roman" w:eastAsia="仿宋_GB2312"/>
          <w:b/>
          <w:color w:val="auto"/>
          <w:sz w:val="32"/>
          <w:szCs w:val="32"/>
        </w:rPr>
      </w:pPr>
      <w:r>
        <w:rPr>
          <w:rFonts w:hint="eastAsia" w:ascii="Times New Roman" w:hAnsi="Times New Roman" w:eastAsia="仿宋_GB2312"/>
          <w:b/>
          <w:color w:val="auto"/>
          <w:sz w:val="32"/>
          <w:szCs w:val="32"/>
          <w:lang w:eastAsia="zh-CN"/>
        </w:rPr>
        <w:t>十</w:t>
      </w:r>
      <w:r>
        <w:rPr>
          <w:rFonts w:hint="eastAsia" w:ascii="Times New Roman" w:hAnsi="Times New Roman" w:eastAsia="仿宋_GB2312"/>
          <w:b/>
          <w:color w:val="auto"/>
          <w:sz w:val="32"/>
          <w:szCs w:val="32"/>
        </w:rPr>
        <w:t>、关于机关运行经费支出说明</w:t>
      </w:r>
    </w:p>
    <w:p w14:paraId="51922871">
      <w:pPr>
        <w:pStyle w:val="12"/>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度机关运行经费支出546.42万元，</w:t>
      </w:r>
      <w:r>
        <w:rPr>
          <w:rFonts w:hint="eastAsia" w:ascii="仿宋_GB2312" w:hAnsi="仿宋_GB2312" w:eastAsia="仿宋_GB2312" w:cs="仿宋_GB2312"/>
          <w:sz w:val="32"/>
          <w:szCs w:val="32"/>
          <w:highlight w:val="none"/>
        </w:rPr>
        <w:t>比年初预算数减少583.68万元，降低</w:t>
      </w:r>
      <w:r>
        <w:rPr>
          <w:rFonts w:hint="eastAsia" w:ascii="仿宋_GB2312" w:hAnsi="仿宋_GB2312" w:eastAsia="仿宋_GB2312" w:cs="仿宋_GB2312"/>
          <w:sz w:val="32"/>
          <w:szCs w:val="32"/>
          <w:highlight w:val="none"/>
          <w:lang w:val="en-US" w:eastAsia="zh-CN"/>
        </w:rPr>
        <w:t>51.65</w:t>
      </w:r>
      <w:r>
        <w:rPr>
          <w:rFonts w:hint="eastAsia" w:ascii="仿宋_GB2312" w:hAnsi="仿宋_GB2312" w:eastAsia="仿宋_GB2312" w:cs="仿宋_GB2312"/>
          <w:sz w:val="32"/>
          <w:szCs w:val="32"/>
          <w:highlight w:val="none"/>
        </w:rPr>
        <w:t>%。主要原因是：</w:t>
      </w:r>
      <w:r>
        <w:rPr>
          <w:rFonts w:hint="eastAsia" w:ascii="仿宋_GB2312" w:hAnsi="仿宋_GB2312" w:eastAsia="仿宋_GB2312" w:cs="仿宋_GB2312"/>
          <w:sz w:val="32"/>
          <w:szCs w:val="32"/>
          <w:highlight w:val="none"/>
          <w:lang w:eastAsia="zh-CN"/>
        </w:rPr>
        <w:t>部分公用经费按人数下拨各区大队</w:t>
      </w:r>
      <w:r>
        <w:rPr>
          <w:rFonts w:hint="eastAsia" w:ascii="楷体" w:hAnsi="楷体" w:eastAsia="楷体" w:cs="楷体"/>
          <w:sz w:val="32"/>
          <w:szCs w:val="32"/>
          <w:highlight w:val="none"/>
        </w:rPr>
        <w:t>。</w:t>
      </w:r>
    </w:p>
    <w:p w14:paraId="434C49C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一</w:t>
      </w:r>
      <w:r>
        <w:rPr>
          <w:rFonts w:hint="eastAsia" w:ascii="黑体" w:hAnsi="黑体" w:eastAsia="黑体" w:cs="黑体"/>
          <w:b w:val="0"/>
          <w:bCs/>
          <w:sz w:val="32"/>
          <w:szCs w:val="32"/>
        </w:rPr>
        <w:t>、一般性支出情况说明</w:t>
      </w:r>
    </w:p>
    <w:p w14:paraId="627DC069">
      <w:pPr>
        <w:pStyle w:val="12"/>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lang w:val="en-US" w:eastAsia="zh-CN"/>
        </w:rPr>
        <w:t>年度，会议费年初预算1.00万元，支出决算为0.95万元，完成年初预算的95.00%。</w:t>
      </w:r>
      <w:r>
        <w:rPr>
          <w:rFonts w:hint="eastAsia" w:ascii="仿宋_GB2312" w:hAnsi="仿宋_GB2312" w:eastAsia="仿宋_GB2312" w:cs="仿宋_GB2312"/>
          <w:sz w:val="32"/>
          <w:szCs w:val="32"/>
          <w:highlight w:val="none"/>
          <w:lang w:val="en-US" w:eastAsia="zh-CN"/>
        </w:rPr>
        <w:t>用于召开年终总结及年初动员会议，</w:t>
      </w:r>
      <w:r>
        <w:rPr>
          <w:rFonts w:hint="eastAsia" w:ascii="仿宋_GB2312" w:hAnsi="仿宋_GB2312" w:eastAsia="仿宋_GB2312" w:cs="仿宋_GB2312"/>
          <w:sz w:val="32"/>
          <w:szCs w:val="32"/>
          <w:highlight w:val="none"/>
        </w:rPr>
        <w:t>人数</w:t>
      </w:r>
      <w:r>
        <w:rPr>
          <w:rFonts w:hint="eastAsia" w:ascii="仿宋_GB2312" w:hAnsi="仿宋_GB2312" w:eastAsia="仿宋_GB2312" w:cs="仿宋_GB2312"/>
          <w:sz w:val="32"/>
          <w:szCs w:val="32"/>
          <w:highlight w:val="none"/>
          <w:lang w:val="en-US" w:eastAsia="zh-CN"/>
        </w:rPr>
        <w:t>260</w:t>
      </w:r>
      <w:r>
        <w:rPr>
          <w:rFonts w:hint="eastAsia" w:ascii="仿宋_GB2312" w:hAnsi="仿宋_GB2312" w:eastAsia="仿宋_GB2312" w:cs="仿宋_GB2312"/>
          <w:sz w:val="32"/>
          <w:szCs w:val="32"/>
          <w:highlight w:val="none"/>
        </w:rPr>
        <w:t>人，内容为</w:t>
      </w:r>
      <w:r>
        <w:rPr>
          <w:rFonts w:hint="eastAsia" w:ascii="仿宋_GB2312" w:hAnsi="仿宋_GB2312" w:eastAsia="仿宋_GB2312" w:cs="仿宋_GB2312"/>
          <w:sz w:val="32"/>
          <w:szCs w:val="32"/>
          <w:highlight w:val="none"/>
          <w:lang w:val="en-US" w:eastAsia="zh-CN"/>
        </w:rPr>
        <w:t>2024</w:t>
      </w:r>
      <w:r>
        <w:rPr>
          <w:rFonts w:hint="eastAsia" w:ascii="仿宋_GB2312" w:hAnsi="仿宋_GB2312" w:eastAsia="仿宋_GB2312" w:cs="仿宋_GB2312"/>
          <w:sz w:val="32"/>
          <w:szCs w:val="32"/>
          <w:highlight w:val="none"/>
          <w:lang w:eastAsia="zh-CN"/>
        </w:rPr>
        <w:t>年年终总结及</w:t>
      </w:r>
      <w:r>
        <w:rPr>
          <w:rFonts w:hint="eastAsia" w:ascii="仿宋_GB2312" w:hAnsi="仿宋_GB2312" w:eastAsia="仿宋_GB2312" w:cs="仿宋_GB2312"/>
          <w:sz w:val="32"/>
          <w:szCs w:val="32"/>
          <w:highlight w:val="none"/>
          <w:lang w:val="en-US" w:eastAsia="zh-CN"/>
        </w:rPr>
        <w:t>2025年</w:t>
      </w:r>
      <w:r>
        <w:rPr>
          <w:rFonts w:hint="eastAsia" w:ascii="仿宋_GB2312" w:hAnsi="仿宋_GB2312" w:eastAsia="仿宋_GB2312" w:cs="仿宋_GB2312"/>
          <w:sz w:val="32"/>
          <w:szCs w:val="32"/>
          <w:highlight w:val="none"/>
          <w:lang w:eastAsia="zh-CN"/>
        </w:rPr>
        <w:t>年初动员。</w:t>
      </w:r>
    </w:p>
    <w:p w14:paraId="4F28E108">
      <w:pPr>
        <w:widowControl w:val="0"/>
        <w:autoSpaceDE w:val="0"/>
        <w:autoSpaceDN w:val="0"/>
        <w:adjustRightInd w:val="0"/>
        <w:ind w:firstLine="640" w:firstLineChars="200"/>
        <w:rPr>
          <w:rFonts w:hint="eastAsia" w:ascii="仿宋_GB2312" w:hAnsi="仿宋_GB2312" w:eastAsia="仿宋_GB2312" w:cs="仿宋_GB2312"/>
          <w:color w:val="000000"/>
          <w:kern w:val="0"/>
          <w:sz w:val="32"/>
          <w:szCs w:val="32"/>
          <w:lang w:val="en-US" w:eastAsia="zh-CN" w:bidi="ar-SA"/>
        </w:rPr>
      </w:pPr>
      <w:r>
        <w:rPr>
          <w:rFonts w:hint="eastAsia" w:ascii="仿宋_GB2312" w:hAnsi="仿宋_GB2312" w:eastAsia="仿宋_GB2312" w:cs="仿宋_GB2312"/>
          <w:color w:val="000000"/>
          <w:kern w:val="0"/>
          <w:sz w:val="32"/>
          <w:szCs w:val="32"/>
          <w:lang w:val="en-US" w:eastAsia="zh-CN" w:bidi="ar-SA"/>
        </w:rPr>
        <w:t>培训费年初预算10.70万元（各区大队培训费按人数下拨，共计8.7万，市本级年初预算培训费2万元），市本级支出决算为1.23万元，完成年初预算的61.50%。</w:t>
      </w:r>
      <w:r>
        <w:rPr>
          <w:rFonts w:hint="eastAsia" w:ascii="仿宋_GB2312" w:hAnsi="仿宋_GB2312" w:eastAsia="仿宋_GB2312" w:cs="仿宋_GB2312"/>
          <w:color w:val="000000"/>
          <w:kern w:val="0"/>
          <w:sz w:val="32"/>
          <w:szCs w:val="32"/>
          <w:highlight w:val="none"/>
          <w:lang w:val="en-US" w:eastAsia="zh-CN" w:bidi="ar-SA"/>
        </w:rPr>
        <w:t>用于开展业务能力培训，人数10人，内容为处级干部、科级干部培训班等。</w:t>
      </w:r>
    </w:p>
    <w:p w14:paraId="1ACC767A">
      <w:pPr>
        <w:pStyle w:val="12"/>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本</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lang w:val="en-US" w:eastAsia="zh-CN"/>
        </w:rPr>
        <w:t>无举办节庆、晚会、论坛、赛事等活动的预算和支出决算数。</w:t>
      </w:r>
    </w:p>
    <w:p w14:paraId="47E9C79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黑体" w:hAnsi="黑体" w:eastAsia="黑体" w:cs="黑体"/>
          <w:b w:val="0"/>
          <w:bCs/>
          <w:sz w:val="32"/>
          <w:szCs w:val="32"/>
        </w:rPr>
      </w:pPr>
      <w:r>
        <w:rPr>
          <w:rFonts w:hint="eastAsia" w:ascii="黑体" w:hAnsi="黑体" w:eastAsia="黑体" w:cs="黑体"/>
          <w:b w:val="0"/>
          <w:bCs/>
          <w:sz w:val="32"/>
          <w:szCs w:val="32"/>
        </w:rPr>
        <w:t>十</w:t>
      </w:r>
      <w:r>
        <w:rPr>
          <w:rFonts w:hint="eastAsia" w:hAnsi="黑体" w:cs="黑体"/>
          <w:b w:val="0"/>
          <w:bCs/>
          <w:sz w:val="32"/>
          <w:szCs w:val="32"/>
          <w:lang w:eastAsia="zh-CN"/>
        </w:rPr>
        <w:t>二</w:t>
      </w:r>
      <w:r>
        <w:rPr>
          <w:rFonts w:hint="eastAsia" w:ascii="黑体" w:hAnsi="黑体" w:eastAsia="黑体" w:cs="黑体"/>
          <w:b w:val="0"/>
          <w:bCs/>
          <w:sz w:val="32"/>
          <w:szCs w:val="32"/>
        </w:rPr>
        <w:t>、关于政府采购支出说明</w:t>
      </w:r>
    </w:p>
    <w:p w14:paraId="39EF6A3C">
      <w:pPr>
        <w:pStyle w:val="12"/>
        <w:keepNext w:val="0"/>
        <w:keepLines w:val="0"/>
        <w:pageBreakBefore w:val="0"/>
        <w:widowControl w:val="0"/>
        <w:kinsoku/>
        <w:wordWrap/>
        <w:overflowPunct/>
        <w:topLinePunct w:val="0"/>
        <w:bidi w:val="0"/>
        <w:snapToGrid/>
        <w:spacing w:line="600"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本部门</w:t>
      </w:r>
      <w:r>
        <w:rPr>
          <w:rFonts w:hint="eastAsia" w:ascii="仿宋_GB2312" w:hAnsi="仿宋_GB2312" w:eastAsia="仿宋_GB2312" w:cs="仿宋_GB2312"/>
          <w:sz w:val="32"/>
          <w:szCs w:val="32"/>
          <w:lang w:eastAsia="zh-CN"/>
        </w:rPr>
        <w:t>2025年</w:t>
      </w:r>
      <w:r>
        <w:rPr>
          <w:rFonts w:hint="eastAsia" w:ascii="仿宋_GB2312" w:hAnsi="仿宋_GB2312" w:eastAsia="仿宋_GB2312" w:cs="仿宋_GB2312"/>
          <w:sz w:val="32"/>
          <w:szCs w:val="32"/>
        </w:rPr>
        <w:t>度政府采购支出总额</w:t>
      </w:r>
      <w:r>
        <w:rPr>
          <w:rFonts w:hint="eastAsia" w:ascii="仿宋_GB2312" w:hAnsi="仿宋_GB2312" w:eastAsia="仿宋_GB2312" w:cs="仿宋_GB2312"/>
          <w:sz w:val="32"/>
          <w:szCs w:val="32"/>
          <w:lang w:val="en-US" w:eastAsia="zh-CN"/>
        </w:rPr>
        <w:t>359.01</w:t>
      </w:r>
      <w:r>
        <w:rPr>
          <w:rFonts w:hint="eastAsia" w:ascii="仿宋_GB2312" w:hAnsi="仿宋_GB2312" w:eastAsia="仿宋_GB2312" w:cs="仿宋_GB2312"/>
          <w:sz w:val="32"/>
          <w:szCs w:val="32"/>
        </w:rPr>
        <w:t>万元，其中：政府采购货物支出</w:t>
      </w:r>
      <w:r>
        <w:rPr>
          <w:rFonts w:hint="eastAsia" w:ascii="仿宋_GB2312" w:hAnsi="仿宋_GB2312" w:eastAsia="仿宋_GB2312" w:cs="仿宋_GB2312"/>
          <w:sz w:val="32"/>
          <w:szCs w:val="32"/>
          <w:lang w:val="en-US" w:eastAsia="zh-CN"/>
        </w:rPr>
        <w:t>326.91</w:t>
      </w:r>
      <w:r>
        <w:rPr>
          <w:rFonts w:hint="eastAsia" w:ascii="仿宋_GB2312" w:hAnsi="仿宋_GB2312" w:eastAsia="仿宋_GB2312" w:cs="仿宋_GB2312"/>
          <w:sz w:val="32"/>
          <w:szCs w:val="32"/>
        </w:rPr>
        <w:t>万元、政府采购工程支出</w:t>
      </w:r>
      <w:r>
        <w:rPr>
          <w:rFonts w:hint="eastAsia" w:ascii="仿宋_GB2312" w:hAnsi="仿宋_GB2312" w:eastAsia="仿宋_GB2312" w:cs="仿宋_GB2312"/>
          <w:sz w:val="32"/>
          <w:szCs w:val="32"/>
          <w:lang w:val="en-US" w:eastAsia="zh-CN"/>
        </w:rPr>
        <w:t>0.00</w:t>
      </w:r>
      <w:r>
        <w:rPr>
          <w:rFonts w:hint="eastAsia" w:ascii="仿宋_GB2312" w:hAnsi="仿宋_GB2312" w:eastAsia="仿宋_GB2312" w:cs="仿宋_GB2312"/>
          <w:sz w:val="32"/>
          <w:szCs w:val="32"/>
        </w:rPr>
        <w:t>万元、政府采购服务支出</w:t>
      </w:r>
      <w:r>
        <w:rPr>
          <w:rFonts w:hint="eastAsia" w:ascii="仿宋_GB2312" w:hAnsi="仿宋_GB2312" w:eastAsia="仿宋_GB2312" w:cs="仿宋_GB2312"/>
          <w:sz w:val="32"/>
          <w:szCs w:val="32"/>
          <w:lang w:val="en-US" w:eastAsia="zh-CN"/>
        </w:rPr>
        <w:t>32.10</w:t>
      </w:r>
      <w:r>
        <w:rPr>
          <w:rFonts w:hint="eastAsia" w:ascii="仿宋_GB2312" w:hAnsi="仿宋_GB2312" w:eastAsia="仿宋_GB2312" w:cs="仿宋_GB2312"/>
          <w:sz w:val="32"/>
          <w:szCs w:val="32"/>
        </w:rPr>
        <w:t>万元。授予中小企业合同金额</w:t>
      </w:r>
      <w:r>
        <w:rPr>
          <w:rFonts w:hint="eastAsia" w:ascii="仿宋_GB2312" w:hAnsi="仿宋_GB2312" w:eastAsia="仿宋_GB2312" w:cs="仿宋_GB2312"/>
          <w:sz w:val="32"/>
          <w:szCs w:val="32"/>
          <w:lang w:val="en-US" w:eastAsia="zh-CN"/>
        </w:rPr>
        <w:t>359.01</w:t>
      </w:r>
      <w:r>
        <w:rPr>
          <w:rFonts w:hint="eastAsia" w:ascii="仿宋_GB2312" w:hAnsi="仿宋_GB2312" w:eastAsia="仿宋_GB2312" w:cs="仿宋_GB2312"/>
          <w:sz w:val="32"/>
          <w:szCs w:val="32"/>
        </w:rPr>
        <w:t>万元，占政府采购支出总额的</w:t>
      </w:r>
      <w:r>
        <w:rPr>
          <w:rFonts w:hint="eastAsia" w:ascii="仿宋_GB2312" w:hAnsi="仿宋_GB2312" w:eastAsia="仿宋_GB2312" w:cs="仿宋_GB2312"/>
          <w:sz w:val="32"/>
          <w:szCs w:val="32"/>
          <w:lang w:val="en-US" w:eastAsia="zh-CN"/>
        </w:rPr>
        <w:t>100.00</w:t>
      </w:r>
      <w:r>
        <w:rPr>
          <w:rFonts w:hint="eastAsia" w:ascii="仿宋_GB2312" w:hAnsi="仿宋_GB2312" w:eastAsia="仿宋_GB2312" w:cs="仿宋_GB2312"/>
          <w:sz w:val="32"/>
          <w:szCs w:val="32"/>
        </w:rPr>
        <w:t>%，其中：授予小微企业合同金额</w:t>
      </w:r>
      <w:r>
        <w:rPr>
          <w:rFonts w:hint="eastAsia" w:ascii="仿宋_GB2312" w:hAnsi="仿宋_GB2312" w:eastAsia="仿宋_GB2312" w:cs="仿宋_GB2312"/>
          <w:sz w:val="32"/>
          <w:szCs w:val="32"/>
          <w:lang w:val="en-US" w:eastAsia="zh-CN"/>
        </w:rPr>
        <w:t>359.01</w:t>
      </w:r>
      <w:r>
        <w:rPr>
          <w:rFonts w:hint="eastAsia" w:ascii="仿宋_GB2312" w:hAnsi="仿宋_GB2312" w:eastAsia="仿宋_GB2312" w:cs="仿宋_GB2312"/>
          <w:sz w:val="32"/>
          <w:szCs w:val="32"/>
        </w:rPr>
        <w:t>万元，</w:t>
      </w:r>
      <w:r>
        <w:rPr>
          <w:rFonts w:hint="eastAsia" w:ascii="仿宋_GB2312" w:hAnsi="仿宋_GB2312" w:eastAsia="仿宋_GB2312" w:cs="仿宋_GB2312"/>
          <w:color w:val="auto"/>
          <w:sz w:val="32"/>
          <w:szCs w:val="32"/>
        </w:rPr>
        <w:t>占</w:t>
      </w:r>
      <w:r>
        <w:rPr>
          <w:rFonts w:hint="eastAsia" w:ascii="仿宋_GB2312" w:hAnsi="仿宋_GB2312" w:eastAsia="仿宋_GB2312" w:cs="仿宋_GB2312"/>
          <w:color w:val="auto"/>
          <w:sz w:val="32"/>
          <w:szCs w:val="32"/>
          <w:lang w:eastAsia="zh-CN"/>
        </w:rPr>
        <w:t>授予中小企业合同金额</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%。货物采购授予中小</w:t>
      </w:r>
      <w:r>
        <w:rPr>
          <w:rFonts w:hint="eastAsia" w:ascii="Times New Roman" w:hAnsi="Times New Roman" w:eastAsia="仿宋_GB2312"/>
          <w:color w:val="auto"/>
          <w:sz w:val="32"/>
          <w:szCs w:val="32"/>
        </w:rPr>
        <w:t>企业合同金</w:t>
      </w:r>
      <w:r>
        <w:rPr>
          <w:rFonts w:hint="eastAsia" w:ascii="仿宋_GB2312" w:hAnsi="仿宋_GB2312" w:eastAsia="仿宋_GB2312" w:cs="仿宋_GB2312"/>
          <w:color w:val="auto"/>
          <w:sz w:val="32"/>
          <w:szCs w:val="32"/>
        </w:rPr>
        <w:t>额占货物支出金额的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%，服务采购授予中小企业合同金额占服务支出金额的</w:t>
      </w:r>
      <w:r>
        <w:rPr>
          <w:rFonts w:hint="eastAsia" w:ascii="仿宋_GB2312" w:hAnsi="仿宋_GB2312" w:eastAsia="仿宋_GB2312" w:cs="仿宋_GB2312"/>
          <w:color w:val="auto"/>
          <w:sz w:val="32"/>
          <w:szCs w:val="32"/>
          <w:lang w:val="en-US" w:eastAsia="zh-CN"/>
        </w:rPr>
        <w:t>100.00</w:t>
      </w:r>
      <w:r>
        <w:rPr>
          <w:rFonts w:hint="eastAsia" w:ascii="仿宋_GB2312" w:hAnsi="仿宋_GB2312" w:eastAsia="仿宋_GB2312" w:cs="仿宋_GB2312"/>
          <w:color w:val="auto"/>
          <w:sz w:val="32"/>
          <w:szCs w:val="32"/>
        </w:rPr>
        <w:t>%。</w:t>
      </w:r>
    </w:p>
    <w:p w14:paraId="26803131">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rPr>
      </w:pPr>
      <w:r>
        <w:rPr>
          <w:rFonts w:hint="eastAsia" w:ascii="黑体" w:hAnsi="黑体" w:eastAsia="黑体" w:cs="黑体"/>
          <w:b w:val="0"/>
          <w:bCs/>
          <w:color w:val="auto"/>
          <w:sz w:val="32"/>
          <w:szCs w:val="32"/>
        </w:rPr>
        <w:t>十</w:t>
      </w:r>
      <w:r>
        <w:rPr>
          <w:rFonts w:hint="eastAsia" w:hAnsi="黑体" w:cs="黑体"/>
          <w:b w:val="0"/>
          <w:bCs/>
          <w:color w:val="auto"/>
          <w:sz w:val="32"/>
          <w:szCs w:val="32"/>
          <w:lang w:eastAsia="zh-CN"/>
        </w:rPr>
        <w:t>三</w:t>
      </w:r>
      <w:r>
        <w:rPr>
          <w:rFonts w:hint="eastAsia" w:ascii="黑体" w:hAnsi="黑体" w:eastAsia="黑体" w:cs="黑体"/>
          <w:b w:val="0"/>
          <w:bCs/>
          <w:color w:val="auto"/>
          <w:sz w:val="32"/>
          <w:szCs w:val="32"/>
        </w:rPr>
        <w:t>、关于国有资产占用情况说明</w:t>
      </w:r>
    </w:p>
    <w:p w14:paraId="6C8E2985">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仿宋_GB2312" w:hAnsi="仿宋_GB2312" w:eastAsia="仿宋_GB2312" w:cs="仿宋_GB2312"/>
          <w:color w:val="auto"/>
          <w:sz w:val="32"/>
          <w:szCs w:val="32"/>
          <w:highlight w:val="none"/>
        </w:rPr>
        <w:t>截至</w:t>
      </w:r>
      <w:r>
        <w:rPr>
          <w:rFonts w:hint="eastAsia" w:ascii="仿宋_GB2312" w:hAnsi="仿宋_GB2312" w:eastAsia="仿宋_GB2312" w:cs="仿宋_GB2312"/>
          <w:color w:val="auto"/>
          <w:sz w:val="32"/>
          <w:szCs w:val="32"/>
          <w:highlight w:val="none"/>
          <w:lang w:eastAsia="zh-CN"/>
        </w:rPr>
        <w:t>2025年</w:t>
      </w:r>
      <w:r>
        <w:rPr>
          <w:rFonts w:hint="eastAsia" w:ascii="仿宋_GB2312" w:hAnsi="仿宋_GB2312" w:eastAsia="仿宋_GB2312" w:cs="仿宋_GB2312"/>
          <w:color w:val="auto"/>
          <w:sz w:val="32"/>
          <w:szCs w:val="32"/>
          <w:highlight w:val="none"/>
        </w:rPr>
        <w:t>12月31日，</w:t>
      </w:r>
      <w:r>
        <w:rPr>
          <w:rFonts w:hint="eastAsia" w:ascii="仿宋_GB2312" w:hAnsi="仿宋_GB2312" w:eastAsia="仿宋_GB2312" w:cs="仿宋_GB2312"/>
          <w:color w:val="auto"/>
          <w:sz w:val="32"/>
          <w:szCs w:val="32"/>
          <w:highlight w:val="none"/>
          <w:lang w:eastAsia="zh-CN"/>
        </w:rPr>
        <w:t>部门（单位）</w:t>
      </w:r>
      <w:r>
        <w:rPr>
          <w:rFonts w:hint="eastAsia" w:ascii="仿宋_GB2312" w:hAnsi="仿宋_GB2312" w:eastAsia="仿宋_GB2312" w:cs="仿宋_GB2312"/>
          <w:color w:val="auto"/>
          <w:sz w:val="32"/>
          <w:szCs w:val="32"/>
          <w:highlight w:val="none"/>
        </w:rPr>
        <w:t>共有车辆</w:t>
      </w: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rPr>
        <w:t>辆，其中</w:t>
      </w:r>
      <w:r>
        <w:rPr>
          <w:rFonts w:hint="eastAsia" w:ascii="仿宋_GB2312" w:hAnsi="仿宋_GB2312" w:eastAsia="仿宋_GB2312" w:cs="仿宋_GB2312"/>
          <w:color w:val="auto"/>
          <w:sz w:val="32"/>
          <w:szCs w:val="32"/>
          <w:highlight w:val="none"/>
          <w:lang w:eastAsia="zh-CN"/>
        </w:rPr>
        <w:t>，副部（省）级及以上领导用车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主要</w:t>
      </w:r>
      <w:r>
        <w:rPr>
          <w:rFonts w:hint="eastAsia" w:ascii="仿宋_GB2312" w:hAnsi="仿宋_GB2312" w:eastAsia="仿宋_GB2312" w:cs="仿宋_GB2312"/>
          <w:color w:val="auto"/>
          <w:sz w:val="32"/>
          <w:szCs w:val="32"/>
          <w:highlight w:val="none"/>
          <w:lang w:eastAsia="zh-CN"/>
        </w:rPr>
        <w:t>负责人</w:t>
      </w:r>
      <w:r>
        <w:rPr>
          <w:rFonts w:hint="eastAsia" w:ascii="仿宋_GB2312" w:hAnsi="仿宋_GB2312" w:eastAsia="仿宋_GB2312" w:cs="仿宋_GB2312"/>
          <w:color w:val="auto"/>
          <w:sz w:val="32"/>
          <w:szCs w:val="32"/>
          <w:highlight w:val="none"/>
        </w:rPr>
        <w:t>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rPr>
        <w:t>机要通信用车</w:t>
      </w: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rPr>
        <w:t>辆、应急保障用车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辆、执法执勤用车</w:t>
      </w: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rPr>
        <w:t>辆、特种专业技术用车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w:t>
      </w:r>
      <w:r>
        <w:rPr>
          <w:rFonts w:hint="eastAsia" w:ascii="仿宋_GB2312" w:hAnsi="仿宋_GB2312" w:eastAsia="仿宋_GB2312" w:cs="仿宋_GB2312"/>
          <w:color w:val="auto"/>
          <w:sz w:val="32"/>
          <w:szCs w:val="32"/>
          <w:highlight w:val="none"/>
          <w:lang w:eastAsia="zh-CN"/>
        </w:rPr>
        <w:t>离退休干部服务用车</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辆、其他用车</w:t>
      </w: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rPr>
        <w:t>辆，其他用车主要是</w:t>
      </w:r>
      <w:r>
        <w:rPr>
          <w:rFonts w:hint="eastAsia" w:ascii="仿宋_GB2312" w:hAnsi="仿宋_GB2312" w:eastAsia="仿宋_GB2312" w:cs="仿宋_GB2312"/>
          <w:color w:val="auto"/>
          <w:sz w:val="32"/>
          <w:szCs w:val="32"/>
          <w:highlight w:val="none"/>
          <w:lang w:eastAsia="zh-CN"/>
        </w:rPr>
        <w:t>皮卡车</w:t>
      </w:r>
      <w:r>
        <w:rPr>
          <w:rFonts w:hint="eastAsia" w:ascii="仿宋_GB2312" w:hAnsi="仿宋_GB2312" w:eastAsia="仿宋_GB2312" w:cs="仿宋_GB2312"/>
          <w:color w:val="auto"/>
          <w:sz w:val="32"/>
          <w:szCs w:val="32"/>
          <w:highlight w:val="none"/>
        </w:rPr>
        <w:t>；单位价值100万元以上设备</w:t>
      </w:r>
      <w:r>
        <w:rPr>
          <w:rFonts w:hint="eastAsia" w:ascii="仿宋_GB2312" w:hAnsi="仿宋_GB2312" w:eastAsia="仿宋_GB2312" w:cs="仿宋_GB2312"/>
          <w:color w:val="auto"/>
          <w:sz w:val="32"/>
          <w:szCs w:val="32"/>
          <w:highlight w:val="none"/>
          <w:lang w:eastAsia="zh-CN"/>
        </w:rPr>
        <w:t>（不含车辆）</w:t>
      </w:r>
      <w:r>
        <w:rPr>
          <w:rFonts w:hint="eastAsia" w:ascii="仿宋_GB2312" w:hAnsi="仿宋_GB2312" w:eastAsia="仿宋_GB2312" w:cs="仿宋_GB2312"/>
          <w:color w:val="auto"/>
          <w:sz w:val="32"/>
          <w:szCs w:val="32"/>
          <w:highlight w:val="none"/>
          <w:lang w:val="en-US" w:eastAsia="zh-CN"/>
        </w:rPr>
        <w:t>0</w:t>
      </w:r>
      <w:r>
        <w:rPr>
          <w:rFonts w:hint="eastAsia" w:ascii="仿宋_GB2312" w:hAnsi="仿宋_GB2312" w:eastAsia="仿宋_GB2312" w:cs="仿宋_GB2312"/>
          <w:color w:val="auto"/>
          <w:sz w:val="32"/>
          <w:szCs w:val="32"/>
          <w:highlight w:val="none"/>
        </w:rPr>
        <w:t>台（套）。</w:t>
      </w:r>
    </w:p>
    <w:p w14:paraId="0E03E021">
      <w:pPr>
        <w:pStyle w:val="12"/>
        <w:keepNext w:val="0"/>
        <w:keepLines w:val="0"/>
        <w:pageBreakBefore w:val="0"/>
        <w:widowControl w:val="0"/>
        <w:kinsoku/>
        <w:wordWrap/>
        <w:overflowPunct/>
        <w:topLinePunct w:val="0"/>
        <w:autoSpaceDE w:val="0"/>
        <w:autoSpaceDN w:val="0"/>
        <w:bidi w:val="0"/>
        <w:adjustRightInd w:val="0"/>
        <w:snapToGrid/>
        <w:spacing w:line="580" w:lineRule="exact"/>
        <w:ind w:firstLine="640" w:firstLineChars="200"/>
        <w:textAlignment w:val="auto"/>
        <w:rPr>
          <w:rFonts w:hint="eastAsia" w:ascii="黑体" w:hAnsi="黑体" w:eastAsia="黑体" w:cs="黑体"/>
          <w:b w:val="0"/>
          <w:bCs/>
          <w:color w:val="auto"/>
          <w:sz w:val="32"/>
          <w:szCs w:val="32"/>
          <w:highlight w:val="none"/>
        </w:rPr>
      </w:pPr>
      <w:r>
        <w:rPr>
          <w:rFonts w:hint="eastAsia" w:ascii="黑体" w:hAnsi="黑体" w:eastAsia="黑体" w:cs="黑体"/>
          <w:b w:val="0"/>
          <w:bCs/>
          <w:color w:val="auto"/>
          <w:sz w:val="32"/>
          <w:szCs w:val="32"/>
          <w:highlight w:val="none"/>
        </w:rPr>
        <w:t>十</w:t>
      </w:r>
      <w:r>
        <w:rPr>
          <w:rFonts w:hint="eastAsia" w:hAnsi="黑体" w:cs="黑体"/>
          <w:b w:val="0"/>
          <w:bCs/>
          <w:color w:val="auto"/>
          <w:sz w:val="32"/>
          <w:szCs w:val="32"/>
          <w:highlight w:val="none"/>
          <w:lang w:eastAsia="zh-CN"/>
        </w:rPr>
        <w:t>四</w:t>
      </w:r>
      <w:r>
        <w:rPr>
          <w:rFonts w:hint="eastAsia" w:ascii="黑体" w:hAnsi="黑体" w:eastAsia="黑体" w:cs="黑体"/>
          <w:b w:val="0"/>
          <w:bCs/>
          <w:color w:val="auto"/>
          <w:sz w:val="32"/>
          <w:szCs w:val="32"/>
          <w:highlight w:val="none"/>
        </w:rPr>
        <w:t>、关于</w:t>
      </w:r>
      <w:r>
        <w:rPr>
          <w:rFonts w:hint="eastAsia" w:ascii="Times New Roman" w:hAnsi="Times New Roman" w:eastAsia="仿宋_GB2312"/>
          <w:color w:val="auto"/>
          <w:sz w:val="32"/>
          <w:szCs w:val="32"/>
          <w:highlight w:val="none"/>
          <w:lang w:eastAsia="zh-CN"/>
        </w:rPr>
        <w:t>2025年</w:t>
      </w:r>
      <w:r>
        <w:rPr>
          <w:rFonts w:hint="eastAsia" w:ascii="黑体" w:hAnsi="黑体" w:eastAsia="黑体" w:cs="黑体"/>
          <w:b w:val="0"/>
          <w:bCs/>
          <w:color w:val="auto"/>
          <w:sz w:val="32"/>
          <w:szCs w:val="32"/>
          <w:highlight w:val="none"/>
        </w:rPr>
        <w:t>度</w:t>
      </w:r>
      <w:r>
        <w:rPr>
          <w:rFonts w:hint="eastAsia" w:hAnsi="黑体" w:cs="黑体"/>
          <w:b w:val="0"/>
          <w:bCs/>
          <w:color w:val="auto"/>
          <w:sz w:val="32"/>
          <w:szCs w:val="32"/>
          <w:highlight w:val="none"/>
          <w:lang w:eastAsia="zh-CN"/>
        </w:rPr>
        <w:t>预算</w:t>
      </w:r>
      <w:r>
        <w:rPr>
          <w:rFonts w:hint="eastAsia" w:ascii="黑体" w:hAnsi="黑体" w:eastAsia="黑体" w:cs="黑体"/>
          <w:b w:val="0"/>
          <w:bCs/>
          <w:color w:val="auto"/>
          <w:sz w:val="32"/>
          <w:szCs w:val="32"/>
          <w:highlight w:val="none"/>
        </w:rPr>
        <w:t>绩效</w:t>
      </w:r>
      <w:r>
        <w:rPr>
          <w:rFonts w:hint="eastAsia" w:hAnsi="黑体" w:cs="黑体"/>
          <w:b w:val="0"/>
          <w:bCs/>
          <w:color w:val="auto"/>
          <w:sz w:val="32"/>
          <w:szCs w:val="32"/>
          <w:highlight w:val="none"/>
          <w:lang w:eastAsia="zh-CN"/>
        </w:rPr>
        <w:t>管理</w:t>
      </w:r>
      <w:r>
        <w:rPr>
          <w:rFonts w:hint="eastAsia" w:ascii="黑体" w:hAnsi="黑体" w:eastAsia="黑体" w:cs="黑体"/>
          <w:b w:val="0"/>
          <w:bCs/>
          <w:color w:val="auto"/>
          <w:sz w:val="32"/>
          <w:szCs w:val="32"/>
          <w:highlight w:val="none"/>
        </w:rPr>
        <w:t>情况的说明</w:t>
      </w:r>
    </w:p>
    <w:p w14:paraId="1E85112F">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（一）绩效评价工作开展情况</w:t>
      </w:r>
    </w:p>
    <w:p w14:paraId="57B11660">
      <w:pPr>
        <w:overflowPunct w:val="0"/>
        <w:spacing w:line="600" w:lineRule="exact"/>
        <w:ind w:firstLine="640" w:firstLineChars="200"/>
        <w:rPr>
          <w:rFonts w:ascii="Times New Roman" w:hAnsi="Times New Roman" w:eastAsia="仿宋_GB2312" w:cs="Times New Roman"/>
          <w:kern w:val="0"/>
          <w:sz w:val="32"/>
          <w:szCs w:val="32"/>
          <w:highlight w:val="none"/>
        </w:rPr>
      </w:pPr>
      <w:r>
        <w:rPr>
          <w:rFonts w:hint="eastAsia" w:ascii="Times New Roman" w:hAnsi="Times New Roman" w:eastAsia="仿宋_GB2312" w:cs="Times New Roman"/>
          <w:kern w:val="0"/>
          <w:sz w:val="32"/>
          <w:szCs w:val="32"/>
          <w:highlight w:val="none"/>
          <w:lang w:val="en-US" w:eastAsia="zh-CN"/>
        </w:rPr>
        <w:t>1.</w:t>
      </w:r>
      <w:r>
        <w:rPr>
          <w:rFonts w:hint="eastAsia" w:ascii="Times New Roman" w:hAnsi="Times New Roman" w:eastAsia="仿宋_GB2312" w:cs="Times New Roman"/>
          <w:b/>
          <w:bCs/>
          <w:kern w:val="0"/>
          <w:sz w:val="32"/>
          <w:szCs w:val="32"/>
          <w:lang w:val="en-US" w:eastAsia="zh-CN"/>
        </w:rPr>
        <w:t>绩</w:t>
      </w:r>
      <w:r>
        <w:rPr>
          <w:rFonts w:ascii="Times New Roman" w:hAnsi="Times New Roman" w:eastAsia="仿宋_GB2312" w:cs="Times New Roman"/>
          <w:b/>
          <w:bCs/>
          <w:kern w:val="0"/>
          <w:sz w:val="32"/>
          <w:szCs w:val="32"/>
        </w:rPr>
        <w:t>效自评开展情况。</w:t>
      </w:r>
      <w:r>
        <w:rPr>
          <w:rFonts w:ascii="Times New Roman" w:hAnsi="Times New Roman" w:eastAsia="仿宋_GB2312" w:cs="Times New Roman"/>
          <w:kern w:val="0"/>
          <w:sz w:val="32"/>
          <w:szCs w:val="32"/>
        </w:rPr>
        <w:t>组织对</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rPr>
        <w:t>358.41</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358.41</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4.52</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0.00</w:t>
      </w:r>
      <w:r>
        <w:rPr>
          <w:rFonts w:ascii="Times New Roman" w:hAnsi="Times New Roman" w:eastAsia="仿宋_GB2312" w:cs="Times New Roman"/>
          <w:kern w:val="0"/>
          <w:sz w:val="32"/>
          <w:szCs w:val="32"/>
        </w:rPr>
        <w:t>万元；</w:t>
      </w:r>
      <w:r>
        <w:rPr>
          <w:rFonts w:ascii="Times New Roman" w:hAnsi="Times New Roman" w:eastAsia="仿宋_GB2312" w:cs="Times New Roman"/>
          <w:kern w:val="0"/>
          <w:sz w:val="32"/>
          <w:szCs w:val="32"/>
          <w:highlight w:val="none"/>
        </w:rPr>
        <w:t>社会保险基金预算项目</w:t>
      </w:r>
      <w:r>
        <w:rPr>
          <w:rFonts w:hint="eastAsia" w:ascii="Times New Roman" w:hAnsi="Times New Roman" w:eastAsia="仿宋_GB2312" w:cs="Times New Roman"/>
          <w:kern w:val="0"/>
          <w:sz w:val="32"/>
          <w:szCs w:val="32"/>
          <w:highlight w:val="none"/>
          <w:lang w:val="en-US" w:eastAsia="zh-CN"/>
        </w:rPr>
        <w:t>0</w:t>
      </w:r>
      <w:r>
        <w:rPr>
          <w:rFonts w:ascii="Times New Roman" w:hAnsi="Times New Roman" w:eastAsia="仿宋_GB2312" w:cs="Times New Roman"/>
          <w:kern w:val="0"/>
          <w:sz w:val="32"/>
          <w:szCs w:val="32"/>
          <w:highlight w:val="none"/>
        </w:rPr>
        <w:t>个</w:t>
      </w:r>
      <w:r>
        <w:rPr>
          <w:rFonts w:hint="eastAsia" w:ascii="Times New Roman" w:hAnsi="Times New Roman" w:eastAsia="仿宋_GB2312" w:cs="Times New Roman"/>
          <w:kern w:val="0"/>
          <w:sz w:val="32"/>
          <w:szCs w:val="32"/>
          <w:highlight w:val="none"/>
          <w:lang w:val="en-US" w:eastAsia="zh-CN"/>
        </w:rPr>
        <w:t>0.00</w:t>
      </w:r>
      <w:r>
        <w:rPr>
          <w:rFonts w:ascii="Times New Roman" w:hAnsi="Times New Roman" w:eastAsia="仿宋_GB2312" w:cs="Times New Roman"/>
          <w:kern w:val="0"/>
          <w:sz w:val="32"/>
          <w:szCs w:val="32"/>
          <w:highlight w:val="none"/>
        </w:rPr>
        <w:t>万元。</w:t>
      </w:r>
    </w:p>
    <w:p w14:paraId="2314F946">
      <w:pPr>
        <w:overflowPunct w:val="0"/>
        <w:spacing w:line="600" w:lineRule="exact"/>
        <w:ind w:firstLine="640" w:firstLineChars="200"/>
        <w:rPr>
          <w:rFonts w:hint="default" w:ascii="Times New Roman" w:hAnsi="Times New Roman" w:eastAsia="仿宋_GB2312" w:cs="Times New Roman"/>
          <w:color w:val="FF0000"/>
          <w:kern w:val="0"/>
          <w:sz w:val="32"/>
          <w:szCs w:val="32"/>
          <w:lang w:val="en-US" w:eastAsia="zh-CN"/>
        </w:rPr>
      </w:pPr>
      <w:r>
        <w:rPr>
          <w:rFonts w:hint="eastAsia" w:ascii="Times New Roman" w:hAnsi="Times New Roman" w:eastAsia="仿宋_GB2312" w:cs="Times New Roman"/>
          <w:kern w:val="0"/>
          <w:sz w:val="32"/>
          <w:szCs w:val="32"/>
          <w:highlight w:val="none"/>
          <w:lang w:val="en-US" w:eastAsia="zh-CN"/>
        </w:rPr>
        <w:t>2.</w:t>
      </w:r>
      <w:r>
        <w:rPr>
          <w:rFonts w:ascii="Times New Roman" w:hAnsi="Times New Roman" w:eastAsia="仿宋_GB2312" w:cs="Times New Roman"/>
          <w:b/>
          <w:bCs/>
          <w:kern w:val="0"/>
          <w:sz w:val="32"/>
          <w:szCs w:val="32"/>
        </w:rPr>
        <w:t>部门评价开展情况。</w:t>
      </w:r>
      <w:r>
        <w:rPr>
          <w:rFonts w:hint="eastAsia" w:ascii="Times New Roman" w:hAnsi="Times New Roman" w:eastAsia="仿宋_GB2312" w:cs="Times New Roman"/>
          <w:kern w:val="0"/>
          <w:sz w:val="32"/>
          <w:szCs w:val="32"/>
          <w:lang w:val="en-US" w:eastAsia="zh-CN"/>
        </w:rPr>
        <w:t>本单位为二级预算单位，部门评价开展情况可详见上级部门决算公开说明。</w:t>
      </w:r>
    </w:p>
    <w:p w14:paraId="404C00B4">
      <w:pPr>
        <w:overflowPunct w:val="0"/>
        <w:spacing w:line="600" w:lineRule="exact"/>
        <w:ind w:firstLine="640" w:firstLineChars="200"/>
        <w:rPr>
          <w:rFonts w:hint="eastAsia" w:ascii="Times New Roman" w:hAnsi="Times New Roman" w:eastAsia="仿宋_GB2312" w:cs="Times New Roman"/>
          <w:color w:val="FF0000"/>
          <w:kern w:val="0"/>
          <w:sz w:val="32"/>
          <w:szCs w:val="32"/>
          <w:lang w:val="en-US" w:eastAsia="zh-CN"/>
        </w:rPr>
      </w:pPr>
      <w:r>
        <w:rPr>
          <w:rFonts w:hint="eastAsia" w:ascii="Times New Roman" w:hAnsi="Times New Roman" w:eastAsia="仿宋_GB2312" w:cs="Times New Roman"/>
          <w:kern w:val="0"/>
          <w:sz w:val="32"/>
          <w:szCs w:val="32"/>
          <w:lang w:val="en-US" w:eastAsia="zh-CN"/>
        </w:rPr>
        <w:t>3.</w:t>
      </w:r>
      <w:r>
        <w:rPr>
          <w:rFonts w:ascii="Times New Roman" w:hAnsi="Times New Roman" w:eastAsia="仿宋_GB2312" w:cs="Times New Roman"/>
          <w:b/>
          <w:bCs/>
          <w:kern w:val="0"/>
          <w:sz w:val="32"/>
          <w:szCs w:val="32"/>
        </w:rPr>
        <w:t>事前绩效评估开展情况。</w:t>
      </w:r>
      <w:r>
        <w:rPr>
          <w:rFonts w:hint="eastAsia" w:ascii="Times New Roman" w:hAnsi="Times New Roman" w:eastAsia="仿宋_GB2312" w:cs="Times New Roman"/>
          <w:kern w:val="0"/>
          <w:sz w:val="32"/>
          <w:szCs w:val="32"/>
          <w:lang w:val="en-US" w:eastAsia="zh-CN"/>
        </w:rPr>
        <w:t>本单位为二级预算单位，事前绩效评估开展情况可详见上级部门决算公开说明。</w:t>
      </w:r>
    </w:p>
    <w:p w14:paraId="3F83F1A3">
      <w:pPr>
        <w:overflowPunct w:val="0"/>
        <w:spacing w:line="600" w:lineRule="exact"/>
        <w:ind w:firstLine="640" w:firstLineChars="200"/>
        <w:rPr>
          <w:rFonts w:ascii="Times New Roman" w:hAnsi="Times New Roman" w:eastAsia="楷体_GB2312" w:cs="Times New Roman"/>
          <w:b/>
          <w:bCs/>
          <w:sz w:val="32"/>
          <w:szCs w:val="32"/>
        </w:rPr>
      </w:pPr>
      <w:r>
        <w:rPr>
          <w:rFonts w:ascii="Times New Roman" w:hAnsi="Times New Roman" w:eastAsia="楷体_GB2312" w:cs="Times New Roman"/>
          <w:b/>
          <w:bCs/>
          <w:sz w:val="32"/>
          <w:szCs w:val="32"/>
        </w:rPr>
        <w:t>（二）绩效评价结果</w:t>
      </w:r>
    </w:p>
    <w:p w14:paraId="37E19E13">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kern w:val="0"/>
          <w:sz w:val="32"/>
          <w:szCs w:val="32"/>
          <w:lang w:eastAsia="zh-CN"/>
        </w:rPr>
      </w:pPr>
      <w:r>
        <w:rPr>
          <w:rFonts w:hint="eastAsia" w:ascii="Times New Roman" w:hAnsi="Times New Roman" w:eastAsia="仿宋_GB2312" w:cs="Times New Roman"/>
          <w:kern w:val="0"/>
          <w:sz w:val="32"/>
          <w:szCs w:val="32"/>
          <w:lang w:val="en-US" w:eastAsia="zh-CN"/>
        </w:rPr>
        <w:t>1.</w:t>
      </w:r>
      <w:r>
        <w:rPr>
          <w:rFonts w:ascii="Times New Roman" w:hAnsi="Times New Roman" w:eastAsia="仿宋_GB2312" w:cs="Times New Roman"/>
          <w:b/>
          <w:bCs/>
          <w:kern w:val="0"/>
          <w:sz w:val="32"/>
          <w:szCs w:val="32"/>
        </w:rPr>
        <w:t>绩效自评结果。</w:t>
      </w:r>
      <w:r>
        <w:rPr>
          <w:rFonts w:hint="eastAsia" w:ascii="Times New Roman" w:hAnsi="Times New Roman" w:eastAsia="仿宋_GB2312" w:cs="Times New Roman"/>
          <w:kern w:val="0"/>
          <w:sz w:val="32"/>
          <w:szCs w:val="32"/>
          <w:lang w:eastAsia="zh-CN"/>
        </w:rPr>
        <w:t>2025年</w:t>
      </w:r>
      <w:r>
        <w:rPr>
          <w:rFonts w:ascii="Times New Roman" w:hAnsi="Times New Roman" w:eastAsia="仿宋_GB2312" w:cs="Times New Roman"/>
          <w:kern w:val="0"/>
          <w:sz w:val="32"/>
          <w:szCs w:val="32"/>
        </w:rPr>
        <w:t>度本部门整体支出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8288.80</w:t>
      </w:r>
      <w:r>
        <w:rPr>
          <w:rFonts w:ascii="Times New Roman" w:hAnsi="Times New Roman" w:eastAsia="仿宋_GB2312" w:cs="Times New Roman"/>
          <w:sz w:val="32"/>
          <w:szCs w:val="32"/>
        </w:rPr>
        <w:t>万元，执行数</w:t>
      </w:r>
      <w:r>
        <w:rPr>
          <w:rFonts w:hint="eastAsia" w:ascii="Times New Roman" w:hAnsi="Times New Roman" w:eastAsia="仿宋_GB2312" w:cs="Times New Roman"/>
          <w:kern w:val="0"/>
          <w:sz w:val="32"/>
          <w:szCs w:val="32"/>
          <w:lang w:val="en-US" w:eastAsia="zh-CN"/>
        </w:rPr>
        <w:t>7934.65</w:t>
      </w:r>
      <w:r>
        <w:rPr>
          <w:rFonts w:hint="eastAsia" w:ascii="Times New Roman" w:hAnsi="Times New Roman" w:eastAsia="仿宋_GB2312" w:cs="Times New Roman"/>
          <w:kern w:val="0"/>
          <w:sz w:val="32"/>
          <w:szCs w:val="32"/>
          <w:lang w:eastAsia="zh-CN"/>
        </w:rPr>
        <w:t>万元，完成预算的</w:t>
      </w:r>
      <w:r>
        <w:rPr>
          <w:rFonts w:hint="eastAsia" w:ascii="Times New Roman" w:hAnsi="Times New Roman" w:eastAsia="仿宋_GB2312" w:cs="Times New Roman"/>
          <w:kern w:val="0"/>
          <w:sz w:val="32"/>
          <w:szCs w:val="32"/>
          <w:lang w:val="en-US" w:eastAsia="zh-CN"/>
        </w:rPr>
        <w:t>95.73</w:t>
      </w:r>
      <w:r>
        <w:rPr>
          <w:rFonts w:hint="eastAsia" w:ascii="Times New Roman" w:hAnsi="Times New Roman" w:eastAsia="仿宋_GB2312" w:cs="Times New Roman"/>
          <w:kern w:val="0"/>
          <w:sz w:val="32"/>
          <w:szCs w:val="32"/>
          <w:lang w:eastAsia="zh-CN"/>
        </w:rPr>
        <w:t>%，绩效自评得分</w:t>
      </w:r>
      <w:r>
        <w:rPr>
          <w:rFonts w:hint="eastAsia" w:ascii="Times New Roman" w:hAnsi="Times New Roman" w:eastAsia="仿宋_GB2312" w:cs="Times New Roman"/>
          <w:kern w:val="0"/>
          <w:sz w:val="32"/>
          <w:szCs w:val="32"/>
          <w:lang w:val="en-US" w:eastAsia="zh-CN"/>
        </w:rPr>
        <w:t>97.57</w:t>
      </w:r>
      <w:r>
        <w:rPr>
          <w:rFonts w:hint="eastAsia" w:ascii="Times New Roman" w:hAnsi="Times New Roman" w:eastAsia="仿宋_GB2312" w:cs="Times New Roman"/>
          <w:kern w:val="0"/>
          <w:sz w:val="32"/>
          <w:szCs w:val="32"/>
          <w:lang w:eastAsia="zh-CN"/>
        </w:rPr>
        <w:t>分，评价等级为“</w:t>
      </w:r>
      <w:r>
        <w:rPr>
          <w:rFonts w:hint="eastAsia" w:ascii="Times New Roman" w:hAnsi="Times New Roman" w:eastAsia="仿宋_GB2312" w:cs="Times New Roman"/>
          <w:kern w:val="0"/>
          <w:sz w:val="32"/>
          <w:szCs w:val="32"/>
          <w:lang w:val="en-US" w:eastAsia="zh-CN"/>
        </w:rPr>
        <w:t>优</w:t>
      </w:r>
      <w:r>
        <w:rPr>
          <w:rFonts w:hint="eastAsia" w:ascii="Times New Roman" w:hAnsi="Times New Roman" w:eastAsia="仿宋_GB2312" w:cs="Times New Roman"/>
          <w:kern w:val="0"/>
          <w:sz w:val="32"/>
          <w:szCs w:val="32"/>
          <w:lang w:eastAsia="zh-CN"/>
        </w:rPr>
        <w:t>”。绩效目</w:t>
      </w:r>
      <w:r>
        <w:rPr>
          <w:rFonts w:hint="eastAsia" w:ascii="Times New Roman" w:hAnsi="Times New Roman" w:eastAsia="仿宋_GB2312" w:cs="Times New Roman"/>
          <w:kern w:val="0"/>
          <w:sz w:val="32"/>
          <w:szCs w:val="32"/>
          <w:lang w:val="en-US" w:eastAsia="zh-CN"/>
        </w:rPr>
        <w:t>标完成情况：一是贯彻执行国家有关城市管理方面的法律法规、规章等政策规定效果良好，行政执法程序合法合规，以事实为依据，以法律为准绳，全年无法律纠纷；二是依法行使市本级管理权限范围内，城市管理方面的行政处罚权及相应的行政强制权，违规行为得到及时处置，执法合法合规，效果良好；三是进一步规范了行政执法程序和流程，管理和服务相结合，公众对城管执法工作认可度显著提升；四是加强了市本级管理权限范围内建筑施工场地噪音污染、扬尘污染等生态环境保护和市容秩序方面的常态化管理，为我市打造名副其实的省域副中心城市创造了良好的市容管理秩序；五是如期高质量圆满完成了年度各项工作任务。发现的主要问题及原因：预算绩效目标编制不够规范，指标关联细化程度有待进一步提升，可衡量性不强。主要是因为绩效管理由财务部门兼任，财务人员大多非会计、财务管理等专业人员，绩效管理不但需要掌握财经知识，还需熟悉相关政策、了解项目业务情况，需要</w:t>
      </w:r>
      <w:r>
        <w:rPr>
          <w:rFonts w:hint="eastAsia" w:ascii="Times New Roman" w:hAnsi="Times New Roman" w:eastAsia="仿宋_GB2312" w:cs="Times New Roman"/>
          <w:kern w:val="0"/>
          <w:sz w:val="32"/>
          <w:szCs w:val="32"/>
          <w:lang w:eastAsia="zh-CN"/>
        </w:rPr>
        <w:t>具备管理学、法学、统计学等方面的知识，并</w:t>
      </w:r>
      <w:r>
        <w:rPr>
          <w:rFonts w:hint="eastAsia" w:ascii="Times New Roman" w:hAnsi="Times New Roman" w:eastAsia="仿宋_GB2312" w:cs="Times New Roman"/>
          <w:kern w:val="0"/>
          <w:sz w:val="32"/>
          <w:szCs w:val="32"/>
          <w:lang w:val="en-US" w:eastAsia="zh-CN"/>
        </w:rPr>
        <w:t>需要</w:t>
      </w:r>
      <w:r>
        <w:rPr>
          <w:rFonts w:hint="eastAsia" w:ascii="Times New Roman" w:hAnsi="Times New Roman" w:eastAsia="仿宋_GB2312" w:cs="Times New Roman"/>
          <w:kern w:val="0"/>
          <w:sz w:val="32"/>
          <w:szCs w:val="32"/>
          <w:lang w:eastAsia="zh-CN"/>
        </w:rPr>
        <w:t>持续更新知识体系</w:t>
      </w:r>
      <w:r>
        <w:rPr>
          <w:rFonts w:hint="eastAsia" w:ascii="Times New Roman" w:hAnsi="Times New Roman" w:eastAsia="仿宋_GB2312" w:cs="Times New Roman"/>
          <w:kern w:val="0"/>
          <w:sz w:val="32"/>
          <w:szCs w:val="32"/>
          <w:lang w:val="en-US" w:eastAsia="zh-CN"/>
        </w:rPr>
        <w:t>。</w:t>
      </w:r>
      <w:r>
        <w:rPr>
          <w:rFonts w:ascii="Times New Roman" w:hAnsi="Times New Roman" w:eastAsia="仿宋_GB2312" w:cs="Times New Roman"/>
          <w:sz w:val="32"/>
          <w:szCs w:val="32"/>
        </w:rPr>
        <w:t>下一步改进措施：一是</w:t>
      </w:r>
      <w:r>
        <w:rPr>
          <w:rFonts w:hint="eastAsia" w:ascii="仿宋_GB2312" w:hAnsi="仿宋_GB2312" w:eastAsia="仿宋_GB2312" w:cs="仿宋_GB2312"/>
          <w:b w:val="0"/>
          <w:bCs/>
          <w:color w:val="auto"/>
          <w:sz w:val="32"/>
          <w:szCs w:val="32"/>
          <w:highlight w:val="none"/>
          <w:shd w:val="clear" w:color="auto" w:fill="FFFFFF"/>
          <w:lang w:eastAsia="zh-CN"/>
        </w:rPr>
        <w:t>加快</w:t>
      </w:r>
      <w:r>
        <w:rPr>
          <w:rFonts w:hint="eastAsia" w:ascii="仿宋_GB2312" w:hAnsi="仿宋_GB2312" w:eastAsia="仿宋_GB2312" w:cs="仿宋_GB2312"/>
          <w:b w:val="0"/>
          <w:bCs/>
          <w:color w:val="auto"/>
          <w:sz w:val="32"/>
          <w:szCs w:val="32"/>
          <w:highlight w:val="none"/>
          <w:shd w:val="clear" w:color="auto" w:fill="FFFFFF"/>
          <w:lang w:val="en-US" w:eastAsia="zh-CN"/>
        </w:rPr>
        <w:t>人才</w:t>
      </w:r>
      <w:r>
        <w:rPr>
          <w:rFonts w:hint="eastAsia" w:ascii="仿宋_GB2312" w:hAnsi="仿宋_GB2312" w:eastAsia="仿宋_GB2312" w:cs="仿宋_GB2312"/>
          <w:b w:val="0"/>
          <w:bCs/>
          <w:color w:val="auto"/>
          <w:sz w:val="32"/>
          <w:szCs w:val="32"/>
          <w:highlight w:val="none"/>
          <w:shd w:val="clear" w:color="auto" w:fill="FFFFFF"/>
          <w:lang w:eastAsia="zh-CN"/>
        </w:rPr>
        <w:t>队伍建设，提</w:t>
      </w:r>
      <w:r>
        <w:rPr>
          <w:rFonts w:hint="eastAsia" w:ascii="仿宋_GB2312" w:hAnsi="仿宋_GB2312" w:eastAsia="仿宋_GB2312" w:cs="仿宋_GB2312"/>
          <w:b w:val="0"/>
          <w:bCs/>
          <w:color w:val="auto"/>
          <w:sz w:val="32"/>
          <w:szCs w:val="32"/>
          <w:highlight w:val="none"/>
          <w:shd w:val="clear" w:color="auto" w:fill="FFFFFF"/>
          <w:lang w:val="en-US" w:eastAsia="zh-CN"/>
        </w:rPr>
        <w:t>升绩效</w:t>
      </w:r>
      <w:r>
        <w:rPr>
          <w:rFonts w:hint="eastAsia" w:ascii="仿宋_GB2312" w:hAnsi="仿宋_GB2312" w:eastAsia="仿宋_GB2312" w:cs="仿宋_GB2312"/>
          <w:b w:val="0"/>
          <w:bCs/>
          <w:color w:val="auto"/>
          <w:sz w:val="32"/>
          <w:szCs w:val="32"/>
          <w:highlight w:val="none"/>
          <w:shd w:val="clear" w:color="auto" w:fill="FFFFFF"/>
          <w:lang w:eastAsia="zh-CN"/>
        </w:rPr>
        <w:t>管理人员专业水平</w:t>
      </w:r>
      <w:r>
        <w:rPr>
          <w:rFonts w:ascii="Times New Roman" w:hAnsi="Times New Roman" w:eastAsia="仿宋_GB2312" w:cs="Times New Roman"/>
          <w:sz w:val="32"/>
          <w:szCs w:val="32"/>
        </w:rPr>
        <w:t>；二是</w:t>
      </w:r>
      <w:r>
        <w:rPr>
          <w:rFonts w:hint="eastAsia" w:ascii="仿宋_GB2312" w:hAnsi="仿宋_GB2312" w:eastAsia="仿宋_GB2312" w:cs="仿宋_GB2312"/>
          <w:b w:val="0"/>
          <w:bCs/>
          <w:color w:val="000000"/>
          <w:sz w:val="32"/>
          <w:szCs w:val="32"/>
          <w:highlight w:val="none"/>
          <w:shd w:val="clear" w:color="auto" w:fill="FFFFFF"/>
          <w:lang w:val="en-US" w:eastAsia="zh-CN"/>
        </w:rPr>
        <w:t>引进专业</w:t>
      </w:r>
      <w:r>
        <w:rPr>
          <w:rFonts w:hint="eastAsia" w:ascii="仿宋_GB2312" w:hAnsi="仿宋_GB2312" w:eastAsia="仿宋_GB2312" w:cs="仿宋_GB2312"/>
          <w:b w:val="0"/>
          <w:bCs/>
          <w:color w:val="000000"/>
          <w:sz w:val="32"/>
          <w:szCs w:val="32"/>
          <w:highlight w:val="none"/>
          <w:shd w:val="clear" w:color="auto" w:fill="FFFFFF"/>
          <w:lang w:eastAsia="zh-CN"/>
        </w:rPr>
        <w:t>人</w:t>
      </w:r>
      <w:r>
        <w:rPr>
          <w:rFonts w:hint="eastAsia" w:ascii="仿宋_GB2312" w:hAnsi="仿宋_GB2312" w:eastAsia="仿宋_GB2312" w:cs="仿宋_GB2312"/>
          <w:b w:val="0"/>
          <w:bCs/>
          <w:color w:val="000000"/>
          <w:sz w:val="32"/>
          <w:szCs w:val="32"/>
          <w:highlight w:val="none"/>
          <w:shd w:val="clear" w:color="auto" w:fill="FFFFFF"/>
          <w:lang w:val="en-US" w:eastAsia="zh-CN"/>
        </w:rPr>
        <w:t>才</w:t>
      </w:r>
      <w:r>
        <w:rPr>
          <w:rFonts w:hint="eastAsia" w:ascii="仿宋_GB2312" w:hAnsi="仿宋_GB2312" w:eastAsia="仿宋_GB2312" w:cs="仿宋_GB2312"/>
          <w:b w:val="0"/>
          <w:bCs/>
          <w:color w:val="000000"/>
          <w:sz w:val="32"/>
          <w:szCs w:val="32"/>
          <w:highlight w:val="none"/>
          <w:shd w:val="clear" w:color="auto" w:fill="FFFFFF"/>
          <w:lang w:eastAsia="zh-CN"/>
        </w:rPr>
        <w:t>，</w:t>
      </w:r>
      <w:r>
        <w:rPr>
          <w:rFonts w:hint="eastAsia" w:ascii="仿宋_GB2312" w:hAnsi="仿宋_GB2312" w:eastAsia="仿宋_GB2312" w:cs="仿宋_GB2312"/>
          <w:b w:val="0"/>
          <w:bCs/>
          <w:color w:val="000000"/>
          <w:sz w:val="32"/>
          <w:szCs w:val="32"/>
          <w:highlight w:val="none"/>
          <w:shd w:val="clear" w:color="auto" w:fill="FFFFFF"/>
          <w:lang w:val="en-US" w:eastAsia="zh-CN"/>
        </w:rPr>
        <w:t>充实</w:t>
      </w:r>
      <w:r>
        <w:rPr>
          <w:rFonts w:hint="eastAsia" w:ascii="仿宋_GB2312" w:hAnsi="仿宋_GB2312" w:eastAsia="仿宋_GB2312" w:cs="仿宋_GB2312"/>
          <w:b w:val="0"/>
          <w:bCs/>
          <w:color w:val="000000"/>
          <w:sz w:val="32"/>
          <w:szCs w:val="32"/>
          <w:highlight w:val="none"/>
          <w:shd w:val="clear" w:color="auto" w:fill="FFFFFF"/>
          <w:lang w:eastAsia="zh-CN"/>
        </w:rPr>
        <w:t>绩效管理</w:t>
      </w:r>
      <w:r>
        <w:rPr>
          <w:rFonts w:hint="eastAsia" w:ascii="仿宋_GB2312" w:hAnsi="仿宋_GB2312" w:eastAsia="仿宋_GB2312" w:cs="仿宋_GB2312"/>
          <w:b w:val="0"/>
          <w:bCs/>
          <w:color w:val="000000"/>
          <w:sz w:val="32"/>
          <w:szCs w:val="32"/>
          <w:highlight w:val="none"/>
          <w:shd w:val="clear" w:color="auto" w:fill="FFFFFF"/>
          <w:lang w:val="en-US" w:eastAsia="zh-CN"/>
        </w:rPr>
        <w:t>人才队伍</w:t>
      </w:r>
      <w:r>
        <w:rPr>
          <w:rFonts w:hint="eastAsia" w:ascii="仿宋_GB2312" w:hAnsi="仿宋_GB2312" w:eastAsia="仿宋_GB2312" w:cs="仿宋_GB2312"/>
          <w:b w:val="0"/>
          <w:bCs/>
          <w:color w:val="000000"/>
          <w:sz w:val="32"/>
          <w:szCs w:val="32"/>
          <w:highlight w:val="none"/>
          <w:shd w:val="clear" w:color="auto" w:fill="FFFFFF"/>
          <w:lang w:eastAsia="zh-CN"/>
        </w:rPr>
        <w:t>，加强</w:t>
      </w:r>
      <w:r>
        <w:rPr>
          <w:rFonts w:hint="eastAsia" w:ascii="仿宋_GB2312" w:hAnsi="仿宋_GB2312" w:eastAsia="仿宋_GB2312" w:cs="仿宋_GB2312"/>
          <w:b w:val="0"/>
          <w:bCs/>
          <w:color w:val="000000"/>
          <w:sz w:val="32"/>
          <w:szCs w:val="32"/>
          <w:highlight w:val="none"/>
          <w:shd w:val="clear" w:color="auto" w:fill="FFFFFF"/>
          <w:lang w:val="en-US" w:eastAsia="zh-CN"/>
        </w:rPr>
        <w:t>业务培训，提升绩效管理人员综合素质；三是加强部门间协作联动，做深做细预算绩效目标，增强预算约束力，</w:t>
      </w:r>
      <w:r>
        <w:rPr>
          <w:rFonts w:hint="eastAsia" w:ascii="仿宋_GB2312" w:hAnsi="仿宋_GB2312" w:eastAsia="仿宋_GB2312" w:cs="仿宋_GB2312"/>
          <w:b w:val="0"/>
          <w:bCs/>
          <w:color w:val="000000"/>
          <w:sz w:val="32"/>
          <w:szCs w:val="32"/>
          <w:highlight w:val="none"/>
          <w:shd w:val="clear" w:color="auto" w:fill="FFFFFF"/>
          <w:lang w:eastAsia="zh-CN"/>
        </w:rPr>
        <w:t>提</w:t>
      </w:r>
      <w:r>
        <w:rPr>
          <w:rFonts w:hint="eastAsia" w:ascii="仿宋_GB2312" w:hAnsi="仿宋_GB2312" w:eastAsia="仿宋_GB2312" w:cs="仿宋_GB2312"/>
          <w:b w:val="0"/>
          <w:bCs/>
          <w:color w:val="000000"/>
          <w:sz w:val="32"/>
          <w:szCs w:val="32"/>
          <w:highlight w:val="none"/>
          <w:shd w:val="clear" w:color="auto" w:fill="FFFFFF"/>
          <w:lang w:val="en-US" w:eastAsia="zh-CN"/>
        </w:rPr>
        <w:t>升</w:t>
      </w:r>
      <w:r>
        <w:rPr>
          <w:rFonts w:hint="eastAsia" w:ascii="仿宋_GB2312" w:hAnsi="仿宋_GB2312" w:eastAsia="仿宋_GB2312" w:cs="仿宋_GB2312"/>
          <w:b w:val="0"/>
          <w:bCs/>
          <w:color w:val="000000"/>
          <w:sz w:val="32"/>
          <w:szCs w:val="32"/>
          <w:highlight w:val="none"/>
          <w:shd w:val="clear" w:color="auto" w:fill="FFFFFF"/>
          <w:lang w:eastAsia="zh-CN"/>
        </w:rPr>
        <w:t>绩效管理</w:t>
      </w:r>
      <w:r>
        <w:rPr>
          <w:rFonts w:hint="eastAsia" w:ascii="仿宋_GB2312" w:hAnsi="仿宋_GB2312" w:eastAsia="仿宋_GB2312" w:cs="仿宋_GB2312"/>
          <w:b w:val="0"/>
          <w:bCs/>
          <w:color w:val="000000"/>
          <w:sz w:val="32"/>
          <w:szCs w:val="32"/>
          <w:highlight w:val="none"/>
          <w:shd w:val="clear" w:color="auto" w:fill="FFFFFF"/>
          <w:lang w:val="en-US" w:eastAsia="zh-CN"/>
        </w:rPr>
        <w:t>水</w:t>
      </w:r>
      <w:r>
        <w:rPr>
          <w:rFonts w:hint="eastAsia" w:ascii="仿宋_GB2312" w:hAnsi="仿宋_GB2312" w:eastAsia="仿宋_GB2312" w:cs="仿宋_GB2312"/>
          <w:b w:val="0"/>
          <w:bCs/>
          <w:color w:val="000000"/>
          <w:sz w:val="32"/>
          <w:szCs w:val="32"/>
          <w:highlight w:val="none"/>
          <w:shd w:val="clear" w:color="auto" w:fill="FFFFFF"/>
          <w:lang w:eastAsia="zh-CN"/>
        </w:rPr>
        <w:t>平</w:t>
      </w:r>
      <w:r>
        <w:rPr>
          <w:rFonts w:ascii="Times New Roman" w:hAnsi="Times New Roman" w:eastAsia="仿宋_GB2312" w:cs="Times New Roman"/>
          <w:sz w:val="32"/>
          <w:szCs w:val="32"/>
        </w:rPr>
        <w:t>。</w:t>
      </w:r>
    </w:p>
    <w:p w14:paraId="0B218F67">
      <w:pPr>
        <w:overflowPunct w:val="0"/>
        <w:spacing w:line="600" w:lineRule="exact"/>
        <w:ind w:firstLine="640" w:firstLineChars="200"/>
        <w:rPr>
          <w:rFonts w:ascii="Times New Roman" w:hAnsi="Times New Roman" w:eastAsia="仿宋_GB2312" w:cs="Times New Roman"/>
          <w:kern w:val="0"/>
          <w:sz w:val="32"/>
          <w:szCs w:val="32"/>
        </w:rPr>
      </w:pP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b/>
          <w:bCs/>
          <w:kern w:val="0"/>
          <w:sz w:val="32"/>
          <w:szCs w:val="32"/>
        </w:rPr>
        <w:t>部门评价结果。</w:t>
      </w:r>
      <w:r>
        <w:rPr>
          <w:rFonts w:hint="eastAsia" w:ascii="Times New Roman" w:hAnsi="Times New Roman" w:eastAsia="仿宋_GB2312" w:cs="Times New Roman"/>
          <w:sz w:val="32"/>
          <w:szCs w:val="32"/>
          <w:lang w:val="en-US" w:eastAsia="zh-CN"/>
        </w:rPr>
        <w:t>本单位为二级预算单位，部门评价结果可详见上级部门决算公开说明。</w:t>
      </w:r>
    </w:p>
    <w:p w14:paraId="29C282E2">
      <w:pPr>
        <w:overflowPunct w:val="0"/>
        <w:spacing w:line="600" w:lineRule="exact"/>
        <w:ind w:firstLine="640" w:firstLineChars="200"/>
        <w:rPr>
          <w:rFonts w:hint="eastAsia" w:ascii="Times New Roman" w:hAnsi="Times New Roman" w:eastAsia="仿宋_GB2312"/>
          <w:color w:val="FF0000"/>
          <w:sz w:val="32"/>
          <w:szCs w:val="32"/>
        </w:rPr>
      </w:pPr>
      <w:r>
        <w:rPr>
          <w:rFonts w:hint="eastAsia" w:ascii="Times New Roman" w:hAnsi="Times New Roman" w:eastAsia="仿宋_GB2312" w:cs="Times New Roman"/>
          <w:kern w:val="0"/>
          <w:sz w:val="32"/>
          <w:szCs w:val="32"/>
          <w:lang w:val="en-US" w:eastAsia="zh-CN"/>
        </w:rPr>
        <w:t>3.</w:t>
      </w:r>
      <w:r>
        <w:rPr>
          <w:rFonts w:hint="eastAsia" w:ascii="Times New Roman" w:hAnsi="Times New Roman" w:eastAsia="仿宋_GB2312" w:cs="Times New Roman"/>
          <w:b/>
          <w:bCs/>
          <w:kern w:val="0"/>
          <w:sz w:val="32"/>
          <w:szCs w:val="32"/>
          <w:highlight w:val="none"/>
          <w:lang w:val="en-US" w:eastAsia="zh-CN"/>
        </w:rPr>
        <w:t>事</w:t>
      </w:r>
      <w:r>
        <w:rPr>
          <w:rFonts w:ascii="Times New Roman" w:hAnsi="Times New Roman" w:eastAsia="仿宋_GB2312" w:cs="Times New Roman"/>
          <w:b/>
          <w:bCs/>
          <w:kern w:val="0"/>
          <w:sz w:val="32"/>
          <w:szCs w:val="32"/>
          <w:highlight w:val="none"/>
        </w:rPr>
        <w:t>前绩效评估结果。</w:t>
      </w:r>
      <w:r>
        <w:rPr>
          <w:rFonts w:hint="eastAsia" w:ascii="Times New Roman" w:hAnsi="Times New Roman" w:eastAsia="仿宋_GB2312" w:cs="Times New Roman"/>
          <w:sz w:val="32"/>
          <w:szCs w:val="32"/>
          <w:lang w:val="en-US" w:eastAsia="zh-CN"/>
        </w:rPr>
        <w:t>本单位为二级预算单位，事前绩效评估结果可详见上级部门决算公开说明。</w:t>
      </w:r>
    </w:p>
    <w:p w14:paraId="23B8F859">
      <w:pPr>
        <w:numPr>
          <w:ilvl w:val="0"/>
          <w:numId w:val="2"/>
        </w:numPr>
        <w:autoSpaceDE w:val="0"/>
        <w:autoSpaceDN w:val="0"/>
        <w:adjustRightInd w:val="0"/>
        <w:ind w:firstLine="640" w:firstLineChars="200"/>
        <w:jc w:val="left"/>
        <w:rPr>
          <w:rFonts w:ascii="Times New Roman" w:hAnsi="Times New Roman" w:eastAsia="楷体_GB2312" w:cs="Times New Roman"/>
          <w:b/>
          <w:bCs/>
          <w:color w:val="auto"/>
          <w:kern w:val="2"/>
          <w:sz w:val="32"/>
          <w:szCs w:val="32"/>
          <w:highlight w:val="none"/>
        </w:rPr>
      </w:pPr>
      <w:r>
        <w:rPr>
          <w:rFonts w:ascii="Times New Roman" w:hAnsi="Times New Roman" w:eastAsia="楷体_GB2312" w:cs="Times New Roman"/>
          <w:b/>
          <w:bCs/>
          <w:color w:val="auto"/>
          <w:kern w:val="2"/>
          <w:sz w:val="32"/>
          <w:szCs w:val="32"/>
          <w:highlight w:val="none"/>
        </w:rPr>
        <w:t>评价结果应用情况</w:t>
      </w:r>
    </w:p>
    <w:p w14:paraId="106D98A2">
      <w:pPr>
        <w:autoSpaceDE w:val="0"/>
        <w:autoSpaceDN w:val="0"/>
        <w:adjustRightInd w:val="0"/>
        <w:ind w:firstLine="640" w:firstLineChars="200"/>
        <w:jc w:val="left"/>
        <w:rPr>
          <w:rFonts w:hint="eastAsia" w:ascii="仿宋_GB2312" w:hAnsi="仿宋_GB2312" w:eastAsia="仿宋_GB2312" w:cs="仿宋_GB2312"/>
          <w:spacing w:val="6"/>
          <w:kern w:val="0"/>
          <w:sz w:val="32"/>
          <w:szCs w:val="32"/>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eastAsia" w:ascii="仿宋_GB2312" w:hAnsi="仿宋_GB2312" w:eastAsia="仿宋_GB2312" w:cs="仿宋_GB2312"/>
          <w:b/>
          <w:bCs/>
          <w:sz w:val="32"/>
          <w:szCs w:val="32"/>
          <w:lang w:val="en-US" w:eastAsia="zh-CN"/>
        </w:rPr>
        <w:t>预算及绩效管理。</w:t>
      </w:r>
      <w:r>
        <w:rPr>
          <w:rFonts w:hint="eastAsia" w:ascii="仿宋_GB2312" w:hAnsi="仿宋_GB2312" w:eastAsia="仿宋_GB2312" w:cs="仿宋_GB2312"/>
          <w:spacing w:val="6"/>
          <w:kern w:val="0"/>
          <w:sz w:val="32"/>
          <w:szCs w:val="32"/>
          <w:lang w:val="en-US" w:eastAsia="zh-CN"/>
        </w:rPr>
        <w:t>加强</w:t>
      </w:r>
      <w:r>
        <w:rPr>
          <w:rFonts w:hint="eastAsia" w:ascii="仿宋_GB2312" w:hAnsi="仿宋_GB2312" w:eastAsia="仿宋_GB2312" w:cs="仿宋_GB2312"/>
          <w:spacing w:val="6"/>
          <w:kern w:val="0"/>
          <w:sz w:val="32"/>
          <w:szCs w:val="32"/>
        </w:rPr>
        <w:t>预算管理</w:t>
      </w:r>
      <w:r>
        <w:rPr>
          <w:rFonts w:hint="eastAsia" w:ascii="仿宋_GB2312" w:hAnsi="仿宋_GB2312" w:eastAsia="仿宋_GB2312" w:cs="仿宋_GB2312"/>
          <w:spacing w:val="6"/>
          <w:kern w:val="0"/>
          <w:sz w:val="32"/>
          <w:szCs w:val="32"/>
          <w:lang w:val="en-US" w:eastAsia="zh-CN"/>
        </w:rPr>
        <w:t>，从预算编制环节入手，编制</w:t>
      </w:r>
      <w:r>
        <w:rPr>
          <w:rFonts w:hint="eastAsia" w:ascii="仿宋_GB2312" w:hAnsi="仿宋_GB2312" w:eastAsia="仿宋_GB2312" w:cs="仿宋_GB2312"/>
          <w:spacing w:val="6"/>
          <w:kern w:val="0"/>
          <w:sz w:val="32"/>
          <w:szCs w:val="32"/>
        </w:rPr>
        <w:t>资金预算</w:t>
      </w:r>
      <w:r>
        <w:rPr>
          <w:rFonts w:hint="eastAsia" w:ascii="仿宋_GB2312" w:hAnsi="仿宋_GB2312" w:eastAsia="仿宋_GB2312" w:cs="仿宋_GB2312"/>
          <w:spacing w:val="6"/>
          <w:kern w:val="0"/>
          <w:sz w:val="32"/>
          <w:szCs w:val="32"/>
          <w:lang w:val="en-US" w:eastAsia="zh-CN"/>
        </w:rPr>
        <w:t>必须先</w:t>
      </w:r>
      <w:r>
        <w:rPr>
          <w:rFonts w:hint="eastAsia" w:ascii="仿宋_GB2312" w:hAnsi="仿宋_GB2312" w:eastAsia="仿宋_GB2312" w:cs="仿宋_GB2312"/>
          <w:spacing w:val="6"/>
          <w:kern w:val="0"/>
          <w:sz w:val="32"/>
          <w:szCs w:val="32"/>
        </w:rPr>
        <w:t>编制</w:t>
      </w:r>
      <w:r>
        <w:rPr>
          <w:rFonts w:hint="eastAsia" w:ascii="仿宋_GB2312" w:hAnsi="仿宋_GB2312" w:eastAsia="仿宋_GB2312" w:cs="仿宋_GB2312"/>
          <w:spacing w:val="6"/>
          <w:kern w:val="0"/>
          <w:sz w:val="32"/>
          <w:szCs w:val="32"/>
          <w:lang w:val="en-US" w:eastAsia="zh-CN"/>
        </w:rPr>
        <w:t>预算绩效</w:t>
      </w:r>
      <w:r>
        <w:rPr>
          <w:rFonts w:hint="eastAsia" w:ascii="仿宋_GB2312" w:hAnsi="仿宋_GB2312" w:eastAsia="仿宋_GB2312" w:cs="仿宋_GB2312"/>
          <w:spacing w:val="6"/>
          <w:kern w:val="0"/>
          <w:sz w:val="32"/>
          <w:szCs w:val="32"/>
        </w:rPr>
        <w:t>目标</w:t>
      </w:r>
      <w:r>
        <w:rPr>
          <w:rFonts w:hint="eastAsia" w:ascii="仿宋_GB2312" w:hAnsi="仿宋_GB2312" w:eastAsia="仿宋_GB2312" w:cs="仿宋_GB2312"/>
          <w:spacing w:val="6"/>
          <w:kern w:val="0"/>
          <w:sz w:val="32"/>
          <w:szCs w:val="32"/>
          <w:lang w:eastAsia="zh-CN"/>
        </w:rPr>
        <w:t>，</w:t>
      </w:r>
      <w:r>
        <w:rPr>
          <w:rFonts w:hint="eastAsia" w:ascii="仿宋_GB2312" w:hAnsi="仿宋_GB2312" w:eastAsia="仿宋_GB2312" w:cs="仿宋_GB2312"/>
          <w:spacing w:val="6"/>
          <w:kern w:val="0"/>
          <w:sz w:val="32"/>
          <w:szCs w:val="32"/>
          <w:lang w:val="en-US" w:eastAsia="zh-CN"/>
        </w:rPr>
        <w:t>各部门、大队根据支队年度工作计划分别制订所负责项目绩效目标草案，财务汇总审核后提交支队办公会研究，做到了资金预算有目标，确保财政资金支出效益。</w:t>
      </w:r>
    </w:p>
    <w:p w14:paraId="11DA7534">
      <w:pPr>
        <w:autoSpaceDE w:val="0"/>
        <w:autoSpaceDN w:val="0"/>
        <w:adjustRightInd w:val="0"/>
        <w:ind w:firstLine="640" w:firstLineChars="200"/>
        <w:jc w:val="left"/>
        <w:rPr>
          <w:rFonts w:hint="eastAsia" w:ascii="仿宋_GB2312" w:hAnsi="仿宋_GB2312" w:eastAsia="仿宋_GB2312" w:cs="仿宋_GB2312"/>
          <w:bCs/>
          <w:sz w:val="32"/>
          <w:szCs w:val="32"/>
          <w:lang w:val="en-US" w:eastAsia="zh-CN"/>
        </w:rPr>
      </w:pPr>
      <w:r>
        <w:rPr>
          <w:rFonts w:hint="eastAsia" w:ascii="仿宋_GB2312" w:hAnsi="仿宋_GB2312" w:eastAsia="仿宋_GB2312" w:cs="仿宋_GB2312"/>
          <w:b/>
          <w:bCs/>
          <w:sz w:val="32"/>
          <w:szCs w:val="32"/>
          <w:lang w:val="en-US" w:eastAsia="zh-CN"/>
        </w:rPr>
        <w:t>2.资金管理情况。</w:t>
      </w:r>
      <w:r>
        <w:rPr>
          <w:rFonts w:hint="eastAsia" w:ascii="CESI仿宋-GB2312" w:hAnsi="CESI仿宋-GB2312" w:eastAsia="CESI仿宋-GB2312" w:cs="CESI仿宋-GB2312"/>
          <w:sz w:val="32"/>
          <w:szCs w:val="32"/>
          <w:lang w:val="en-US" w:eastAsia="zh-CN"/>
        </w:rPr>
        <w:t>进一步优化了支队各项管理制度，各部门、大队严格按照《财务管理制度》、《</w:t>
      </w:r>
      <w:r>
        <w:rPr>
          <w:rFonts w:hint="eastAsia" w:ascii="CESI仿宋-GB2312" w:hAnsi="CESI仿宋-GB2312" w:eastAsia="CESI仿宋-GB2312" w:cs="CESI仿宋-GB2312"/>
          <w:sz w:val="32"/>
          <w:szCs w:val="32"/>
        </w:rPr>
        <w:t>岳阳市城市管理综合行政执法支队</w:t>
      </w:r>
      <w:r>
        <w:rPr>
          <w:rFonts w:hint="eastAsia" w:ascii="CESI仿宋-GB2312" w:hAnsi="CESI仿宋-GB2312" w:eastAsia="CESI仿宋-GB2312" w:cs="CESI仿宋-GB2312"/>
          <w:sz w:val="32"/>
          <w:szCs w:val="32"/>
          <w:lang w:val="en-US" w:eastAsia="zh-CN"/>
        </w:rPr>
        <w:t>内部控制手册》、《管理考评实施方案》、《规范行政执法程序的规定》、《协管员管理暂行规定》等规章制度执行，支队实行定期讲评制度，每季度公开评选先进集体，纪检部门负责对规章制度实施的具体协调、监督，起到了以讲促进，以评促干的良好效果，有力推动了全年目标任务完成。</w:t>
      </w:r>
      <w:r>
        <w:rPr>
          <w:rFonts w:hint="eastAsia" w:ascii="仿宋_GB2312" w:hAnsi="仿宋_GB2312" w:eastAsia="仿宋_GB2312" w:cs="仿宋_GB2312"/>
          <w:bCs/>
          <w:sz w:val="32"/>
          <w:szCs w:val="32"/>
          <w:lang w:val="en-US" w:eastAsia="zh-CN"/>
        </w:rPr>
        <w:t>专项资金管理经依法批准的预算执行，按照专款专用的原则，进行日常财务管理和会计核算，配合市财政、监察和审计等部门对项目专项资金的使用和管理情况进行监督检查，并开展绩效评价工作。</w:t>
      </w:r>
    </w:p>
    <w:p w14:paraId="352BC0C1">
      <w:pPr>
        <w:autoSpaceDE w:val="0"/>
        <w:autoSpaceDN w:val="0"/>
        <w:adjustRightInd w:val="0"/>
        <w:ind w:firstLine="640" w:firstLineChars="200"/>
        <w:jc w:val="left"/>
        <w:rPr>
          <w:rFonts w:hint="default" w:ascii="仿宋_GB2312" w:hAnsi="仿宋_GB2312" w:eastAsia="仿宋_GB2312" w:cs="仿宋_GB2312"/>
          <w:bCs/>
          <w:sz w:val="32"/>
          <w:szCs w:val="32"/>
          <w:lang w:val="en-US" w:eastAsia="zh-CN"/>
        </w:rPr>
      </w:pPr>
      <w:r>
        <w:rPr>
          <w:rFonts w:hint="eastAsia" w:ascii="仿宋_GB2312" w:hAnsi="仿宋_GB2312" w:eastAsia="仿宋_GB2312" w:cs="仿宋_GB2312"/>
          <w:b/>
          <w:bCs w:val="0"/>
          <w:sz w:val="32"/>
          <w:szCs w:val="32"/>
          <w:lang w:val="en-US" w:eastAsia="zh-CN"/>
        </w:rPr>
        <w:t>3.</w:t>
      </w:r>
      <w:r>
        <w:rPr>
          <w:rFonts w:hint="eastAsia" w:ascii="仿宋_GB2312" w:hAnsi="仿宋_GB2312" w:eastAsia="仿宋_GB2312" w:cs="仿宋_GB2312"/>
          <w:b/>
          <w:bCs w:val="0"/>
          <w:sz w:val="32"/>
          <w:szCs w:val="32"/>
          <w:highlight w:val="none"/>
          <w:lang w:val="en-US" w:eastAsia="zh-CN"/>
        </w:rPr>
        <w:t>运行成本和管理效率。</w:t>
      </w:r>
      <w:r>
        <w:rPr>
          <w:rFonts w:hint="eastAsia" w:ascii="仿宋_GB2312" w:hAnsi="仿宋_GB2312" w:eastAsia="仿宋_GB2312" w:cs="仿宋_GB2312"/>
          <w:sz w:val="32"/>
          <w:szCs w:val="32"/>
          <w:lang w:val="en-US" w:eastAsia="zh-CN"/>
        </w:rPr>
        <w:t>2025年，支队全年预算总金额为8288.80万元（其中一般公共预算金额为8226.15万元、其他资金预算金额为62.65万元），实际支出总金额为7934.65万元，其中基本支出金额为7576.24万元（含其他资金支出2.02万元）、项目支出金额为358.41万元，年度预算执行率为95.73%，单位运行成本控制在年度预算金额之内，资金周转利用效率高。</w:t>
      </w:r>
    </w:p>
    <w:p w14:paraId="4C6324C3">
      <w:pPr>
        <w:autoSpaceDE w:val="0"/>
        <w:autoSpaceDN w:val="0"/>
        <w:adjustRightInd w:val="0"/>
        <w:ind w:firstLine="640" w:firstLineChars="200"/>
        <w:jc w:val="left"/>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b w:val="0"/>
          <w:bCs w:val="0"/>
          <w:sz w:val="32"/>
          <w:szCs w:val="32"/>
          <w:lang w:val="en-US" w:eastAsia="zh-CN"/>
        </w:rPr>
        <w:t>预算绩效管理开展情况、绩效目标和绩效评价报告等，已在市政府部门财政预决算公开平台上向社会公开，详见附件。</w:t>
      </w:r>
    </w:p>
    <w:p w14:paraId="57B35FA5">
      <w:pPr>
        <w:pStyle w:val="7"/>
        <w:rPr>
          <w:rFonts w:hint="eastAsia"/>
          <w:lang w:val="en-US" w:eastAsia="zh-CN"/>
        </w:rPr>
      </w:pPr>
    </w:p>
    <w:p w14:paraId="47C2B7E2">
      <w:pPr>
        <w:numPr>
          <w:ilvl w:val="0"/>
          <w:numId w:val="0"/>
        </w:numPr>
        <w:autoSpaceDE w:val="0"/>
        <w:autoSpaceDN w:val="0"/>
        <w:adjustRightInd w:val="0"/>
        <w:jc w:val="left"/>
        <w:rPr>
          <w:rFonts w:hint="eastAsia" w:ascii="楷体" w:hAnsi="楷体" w:eastAsia="楷体" w:cs="楷体"/>
          <w:b/>
          <w:bCs/>
          <w:i w:val="0"/>
          <w:iCs w:val="0"/>
          <w:color w:val="FF0000"/>
          <w:kern w:val="0"/>
          <w:sz w:val="36"/>
          <w:szCs w:val="36"/>
          <w:lang w:val="en-US" w:eastAsia="zh-CN"/>
        </w:rPr>
      </w:pPr>
    </w:p>
    <w:p w14:paraId="49579C5B">
      <w:pPr>
        <w:pStyle w:val="12"/>
        <w:jc w:val="both"/>
        <w:rPr>
          <w:rFonts w:hint="eastAsia" w:ascii="方正小标宋_GBK" w:hAnsi="方正小标宋_GBK" w:eastAsia="方正小标宋_GBK" w:cs="方正小标宋_GBK"/>
          <w:sz w:val="24"/>
          <w:szCs w:val="24"/>
        </w:rPr>
      </w:pPr>
    </w:p>
    <w:p w14:paraId="275035F5">
      <w:pPr>
        <w:pStyle w:val="12"/>
        <w:jc w:val="center"/>
        <w:rPr>
          <w:rFonts w:hint="eastAsia" w:ascii="方正小标宋_GBK" w:hAnsi="方正小标宋_GBK" w:eastAsia="方正小标宋_GBK" w:cs="方正小标宋_GBK"/>
          <w:sz w:val="72"/>
          <w:szCs w:val="72"/>
        </w:rPr>
      </w:pPr>
    </w:p>
    <w:p w14:paraId="5C43DF8E">
      <w:pPr>
        <w:pStyle w:val="12"/>
        <w:jc w:val="both"/>
        <w:rPr>
          <w:rFonts w:hint="eastAsia" w:ascii="方正小标宋_GBK" w:hAnsi="方正小标宋_GBK" w:eastAsia="方正小标宋_GBK" w:cs="方正小标宋_GBK"/>
          <w:sz w:val="72"/>
          <w:szCs w:val="72"/>
        </w:rPr>
      </w:pPr>
    </w:p>
    <w:p w14:paraId="5E8ADDB3">
      <w:pPr>
        <w:pStyle w:val="12"/>
        <w:jc w:val="center"/>
        <w:rPr>
          <w:rFonts w:hint="eastAsia" w:ascii="方正小标宋_GBK" w:hAnsi="方正小标宋_GBK" w:eastAsia="方正小标宋_GBK" w:cs="方正小标宋_GBK"/>
          <w:sz w:val="72"/>
          <w:szCs w:val="72"/>
        </w:rPr>
      </w:pPr>
    </w:p>
    <w:p w14:paraId="044A312F">
      <w:pPr>
        <w:pStyle w:val="12"/>
        <w:jc w:val="center"/>
        <w:rPr>
          <w:rFonts w:hint="eastAsia" w:ascii="方正小标宋_GBK" w:hAnsi="方正小标宋_GBK" w:eastAsia="方正小标宋_GBK" w:cs="方正小标宋_GBK"/>
          <w:sz w:val="72"/>
          <w:szCs w:val="72"/>
        </w:rPr>
      </w:pPr>
    </w:p>
    <w:p w14:paraId="68906B28">
      <w:pPr>
        <w:pStyle w:val="12"/>
        <w:jc w:val="center"/>
        <w:rPr>
          <w:rFonts w:hint="eastAsia" w:ascii="方正小标宋_GBK" w:hAnsi="方正小标宋_GBK" w:eastAsia="方正小标宋_GBK" w:cs="方正小标宋_GBK"/>
          <w:sz w:val="72"/>
          <w:szCs w:val="72"/>
        </w:rPr>
      </w:pPr>
    </w:p>
    <w:p w14:paraId="45C9DCA4">
      <w:pPr>
        <w:pStyle w:val="12"/>
        <w:jc w:val="center"/>
        <w:rPr>
          <w:rFonts w:hint="eastAsia" w:ascii="方正小标宋_GBK" w:hAnsi="方正小标宋_GBK" w:eastAsia="方正小标宋_GBK" w:cs="方正小标宋_GBK"/>
          <w:sz w:val="72"/>
          <w:szCs w:val="72"/>
        </w:rPr>
      </w:pPr>
    </w:p>
    <w:p w14:paraId="4C85E680">
      <w:pPr>
        <w:pStyle w:val="12"/>
        <w:jc w:val="center"/>
        <w:rPr>
          <w:rFonts w:hint="eastAsia" w:ascii="方正小标宋_GBK" w:hAnsi="方正小标宋_GBK" w:eastAsia="方正小标宋_GBK" w:cs="方正小标宋_GBK"/>
          <w:sz w:val="72"/>
          <w:szCs w:val="72"/>
        </w:rPr>
      </w:pPr>
    </w:p>
    <w:p w14:paraId="009DCACC">
      <w:pPr>
        <w:pStyle w:val="12"/>
        <w:jc w:val="both"/>
        <w:rPr>
          <w:rFonts w:hint="eastAsia" w:ascii="方正小标宋_GBK" w:hAnsi="方正小标宋_GBK" w:eastAsia="方正小标宋_GBK" w:cs="方正小标宋_GBK"/>
          <w:sz w:val="72"/>
          <w:szCs w:val="72"/>
        </w:rPr>
      </w:pPr>
    </w:p>
    <w:p w14:paraId="500F3D2E">
      <w:pPr>
        <w:pStyle w:val="12"/>
        <w:jc w:val="both"/>
        <w:rPr>
          <w:rFonts w:hint="eastAsia" w:ascii="方正小标宋_GBK" w:hAnsi="方正小标宋_GBK" w:eastAsia="方正小标宋_GBK" w:cs="方正小标宋_GBK"/>
          <w:sz w:val="72"/>
          <w:szCs w:val="72"/>
        </w:rPr>
      </w:pPr>
    </w:p>
    <w:p w14:paraId="2D52F25D">
      <w:pPr>
        <w:pStyle w:val="12"/>
        <w:jc w:val="center"/>
        <w:rPr>
          <w:rFonts w:hint="eastAsia" w:ascii="方正小标宋_GBK" w:hAnsi="方正小标宋_GBK" w:eastAsia="方正小标宋_GBK" w:cs="方正小标宋_GBK"/>
          <w:sz w:val="72"/>
          <w:szCs w:val="72"/>
        </w:rPr>
      </w:pPr>
      <w:r>
        <w:rPr>
          <w:rFonts w:hint="eastAsia" w:ascii="方正小标宋_GBK" w:hAnsi="方正小标宋_GBK" w:eastAsia="方正小标宋_GBK" w:cs="方正小标宋_GBK"/>
          <w:sz w:val="72"/>
          <w:szCs w:val="72"/>
        </w:rPr>
        <w:t>第四部分</w:t>
      </w:r>
    </w:p>
    <w:p w14:paraId="7373358E">
      <w:pPr>
        <w:jc w:val="center"/>
        <w:rPr>
          <w:rFonts w:hint="eastAsia" w:ascii="方正小标宋_GBK" w:hAnsi="方正小标宋_GBK" w:eastAsia="方正小标宋_GBK" w:cs="方正小标宋_GBK"/>
          <w:color w:val="000000"/>
          <w:kern w:val="0"/>
          <w:sz w:val="70"/>
          <w:szCs w:val="70"/>
        </w:rPr>
      </w:pPr>
    </w:p>
    <w:p w14:paraId="606AFED0">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color w:val="000000"/>
          <w:kern w:val="0"/>
          <w:sz w:val="70"/>
          <w:szCs w:val="70"/>
        </w:rPr>
        <w:t>名词解释</w:t>
      </w:r>
    </w:p>
    <w:p w14:paraId="62CCA82D">
      <w:pPr>
        <w:pStyle w:val="7"/>
      </w:pPr>
    </w:p>
    <w:p w14:paraId="2B14EC1D">
      <w:pPr>
        <w:pStyle w:val="3"/>
      </w:pPr>
    </w:p>
    <w:p w14:paraId="2212E16A"/>
    <w:p w14:paraId="550C4881">
      <w:pPr>
        <w:pStyle w:val="7"/>
      </w:pPr>
    </w:p>
    <w:p w14:paraId="32B5A56E">
      <w:pPr>
        <w:pStyle w:val="3"/>
      </w:pPr>
    </w:p>
    <w:p w14:paraId="7BBEF51F"/>
    <w:p w14:paraId="1FCAA190">
      <w:pPr>
        <w:pStyle w:val="7"/>
      </w:pPr>
    </w:p>
    <w:p w14:paraId="330CF2DF">
      <w:pPr>
        <w:jc w:val="left"/>
        <w:rPr>
          <w:rFonts w:hint="eastAsia" w:ascii="仿宋_GB2312" w:hAnsi="仿宋_GB2312" w:eastAsia="仿宋_GB2312" w:cs="仿宋_GB2312"/>
          <w:color w:val="000000"/>
          <w:kern w:val="0"/>
          <w:sz w:val="32"/>
          <w:szCs w:val="32"/>
        </w:rPr>
      </w:pPr>
    </w:p>
    <w:p w14:paraId="2055E371">
      <w:pPr>
        <w:jc w:val="left"/>
        <w:rPr>
          <w:rFonts w:hint="eastAsia" w:ascii="仿宋_GB2312" w:hAnsi="仿宋_GB2312" w:eastAsia="仿宋_GB2312" w:cs="仿宋_GB2312"/>
          <w:color w:val="000000"/>
          <w:kern w:val="0"/>
          <w:sz w:val="32"/>
          <w:szCs w:val="32"/>
        </w:rPr>
      </w:pPr>
    </w:p>
    <w:p w14:paraId="47AC3D8A">
      <w:pPr>
        <w:jc w:val="left"/>
        <w:rPr>
          <w:rFonts w:hint="eastAsia" w:ascii="仿宋_GB2312" w:hAnsi="仿宋_GB2312" w:eastAsia="仿宋_GB2312" w:cs="仿宋_GB2312"/>
          <w:color w:val="000000"/>
          <w:kern w:val="0"/>
          <w:sz w:val="32"/>
          <w:szCs w:val="32"/>
        </w:rPr>
      </w:pPr>
    </w:p>
    <w:p w14:paraId="4A8A8DB9">
      <w:pPr>
        <w:jc w:val="left"/>
        <w:rPr>
          <w:rFonts w:hint="eastAsia" w:ascii="仿宋_GB2312" w:hAnsi="仿宋_GB2312" w:eastAsia="仿宋_GB2312" w:cs="仿宋_GB2312"/>
          <w:color w:val="000000"/>
          <w:kern w:val="0"/>
          <w:sz w:val="32"/>
          <w:szCs w:val="32"/>
        </w:rPr>
      </w:pPr>
    </w:p>
    <w:p w14:paraId="31D01B62">
      <w:pPr>
        <w:jc w:val="left"/>
        <w:rPr>
          <w:rFonts w:hint="eastAsia" w:ascii="仿宋_GB2312" w:hAnsi="仿宋_GB2312" w:eastAsia="仿宋_GB2312" w:cs="仿宋_GB2312"/>
          <w:color w:val="000000"/>
          <w:kern w:val="0"/>
          <w:sz w:val="32"/>
          <w:szCs w:val="32"/>
        </w:rPr>
      </w:pPr>
    </w:p>
    <w:p w14:paraId="6CE47A6A">
      <w:pPr>
        <w:jc w:val="left"/>
        <w:rPr>
          <w:rFonts w:hint="eastAsia" w:ascii="仿宋_GB2312" w:hAnsi="仿宋_GB2312" w:eastAsia="仿宋_GB2312" w:cs="仿宋_GB2312"/>
          <w:color w:val="000000"/>
          <w:kern w:val="0"/>
          <w:sz w:val="32"/>
          <w:szCs w:val="32"/>
        </w:rPr>
      </w:pPr>
    </w:p>
    <w:p w14:paraId="7728E6C8">
      <w:pPr>
        <w:jc w:val="left"/>
        <w:rPr>
          <w:rFonts w:hint="eastAsia" w:ascii="仿宋_GB2312" w:hAnsi="仿宋_GB2312" w:eastAsia="仿宋_GB2312" w:cs="仿宋_GB2312"/>
          <w:color w:val="000000"/>
          <w:kern w:val="0"/>
          <w:sz w:val="32"/>
          <w:szCs w:val="32"/>
        </w:rPr>
      </w:pPr>
    </w:p>
    <w:p w14:paraId="543B2B66">
      <w:pPr>
        <w:jc w:val="left"/>
        <w:rPr>
          <w:rFonts w:hint="eastAsia" w:ascii="仿宋_GB2312" w:hAnsi="仿宋_GB2312" w:eastAsia="仿宋_GB2312" w:cs="仿宋_GB2312"/>
          <w:color w:val="000000"/>
          <w:kern w:val="0"/>
          <w:sz w:val="32"/>
          <w:szCs w:val="32"/>
        </w:rPr>
      </w:pPr>
    </w:p>
    <w:p w14:paraId="042DB6D0">
      <w:pPr>
        <w:keepNext w:val="0"/>
        <w:keepLines w:val="0"/>
        <w:pageBreakBefore w:val="0"/>
        <w:widowControl/>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一、“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14:paraId="2545F73E">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二、机关运行经费</w:t>
      </w:r>
      <w:r>
        <w:rPr>
          <w:rFonts w:hint="eastAsia" w:ascii="仿宋" w:hAnsi="仿宋" w:eastAsia="仿宋" w:cs="黑体"/>
          <w:color w:val="000000"/>
          <w:kern w:val="0"/>
          <w:sz w:val="32"/>
          <w:szCs w:val="32"/>
          <w:lang w:eastAsia="zh-CN"/>
        </w:rPr>
        <w:t>：</w:t>
      </w:r>
      <w:r>
        <w:rPr>
          <w:rFonts w:hint="eastAsia" w:ascii="仿宋" w:hAnsi="仿宋" w:eastAsia="仿宋" w:cs="黑体"/>
          <w:color w:val="000000"/>
          <w:kern w:val="0"/>
          <w:sz w:val="32"/>
          <w:szCs w:val="32"/>
        </w:rPr>
        <w:t>是指各部门的公用经费，包括办公及印刷费、邮电费、差旅费、会议费、福利费、日常维修费、专用材料及一般设备购置费、办公用房水电费、办公用房取暖费、办公用房物业管理费、公务用车运行维护费以及其他费用。</w:t>
      </w:r>
    </w:p>
    <w:p w14:paraId="2EB96E04">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三、财政拨款收入：指本级财政当年拨付的资金。</w:t>
      </w:r>
    </w:p>
    <w:p w14:paraId="660C9B29">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四、其他收入：指除上述“财政拨款收入”、“上级补助收入”、“事业收入”、“经营收入”、“附属单位上缴收入”等以外的收入。</w:t>
      </w:r>
    </w:p>
    <w:p w14:paraId="36274D03">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五、基本支出：指保障机构正常运转、完成日常工作任务而发生的人员支出和公用支出。</w:t>
      </w:r>
    </w:p>
    <w:p w14:paraId="5516E8DE">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黑体"/>
          <w:color w:val="000000"/>
          <w:kern w:val="0"/>
          <w:sz w:val="32"/>
          <w:szCs w:val="32"/>
        </w:rPr>
      </w:pPr>
      <w:r>
        <w:rPr>
          <w:rFonts w:hint="eastAsia" w:ascii="仿宋" w:hAnsi="仿宋" w:eastAsia="仿宋" w:cs="黑体"/>
          <w:color w:val="000000"/>
          <w:kern w:val="0"/>
          <w:sz w:val="32"/>
          <w:szCs w:val="32"/>
        </w:rPr>
        <w:t>六、项目支出：指在基本支出之外为完成特定行政任务和事业发展目标所发生的支出。</w:t>
      </w:r>
    </w:p>
    <w:p w14:paraId="244B5B75">
      <w:pPr>
        <w:keepNext w:val="0"/>
        <w:keepLines w:val="0"/>
        <w:pageBreakBefore w:val="0"/>
        <w:kinsoku/>
        <w:wordWrap/>
        <w:overflowPunct/>
        <w:topLinePunct w:val="0"/>
        <w:autoSpaceDE/>
        <w:autoSpaceDN/>
        <w:bidi w:val="0"/>
        <w:adjustRightInd/>
        <w:snapToGrid/>
        <w:spacing w:line="600" w:lineRule="exact"/>
        <w:ind w:firstLine="640" w:firstLineChars="200"/>
        <w:jc w:val="left"/>
        <w:textAlignment w:val="auto"/>
        <w:rPr>
          <w:rFonts w:ascii="仿宋" w:hAnsi="仿宋" w:eastAsia="仿宋" w:cstheme="minorEastAsia"/>
          <w:sz w:val="32"/>
          <w:szCs w:val="32"/>
        </w:rPr>
      </w:pPr>
      <w:r>
        <w:rPr>
          <w:rFonts w:hint="eastAsia" w:ascii="仿宋" w:hAnsi="仿宋" w:eastAsia="仿宋" w:cstheme="minorEastAsia"/>
          <w:sz w:val="32"/>
          <w:szCs w:val="32"/>
        </w:rPr>
        <w:t>七、会议费：反映会议中按规定开支的住宿费、伙食费、会议室租金、交通费、文件印刷费、医药费等。</w:t>
      </w:r>
    </w:p>
    <w:p w14:paraId="58380EE8">
      <w:pPr>
        <w:ind w:firstLine="640" w:firstLineChars="200"/>
        <w:jc w:val="left"/>
        <w:rPr>
          <w:rFonts w:hint="eastAsia" w:ascii="仿宋_GB2312" w:hAnsi="仿宋_GB2312" w:eastAsia="仿宋_GB2312" w:cs="仿宋_GB2312"/>
          <w:color w:val="000000"/>
          <w:kern w:val="0"/>
          <w:sz w:val="32"/>
          <w:szCs w:val="32"/>
        </w:rPr>
      </w:pPr>
      <w:r>
        <w:rPr>
          <w:rFonts w:hint="eastAsia" w:ascii="仿宋" w:hAnsi="仿宋" w:eastAsia="仿宋" w:cstheme="minorEastAsia"/>
          <w:sz w:val="32"/>
          <w:szCs w:val="32"/>
        </w:rPr>
        <w:t>八、培训费：反映除因公出国（境）培训费以外的各类培训支出。</w:t>
      </w:r>
    </w:p>
    <w:p w14:paraId="47085CBC">
      <w:pPr>
        <w:pStyle w:val="12"/>
        <w:jc w:val="center"/>
        <w:rPr>
          <w:rFonts w:hint="eastAsia" w:ascii="仿宋_GB2312" w:hAnsi="仿宋_GB2312" w:eastAsia="仿宋_GB2312" w:cs="仿宋_GB2312"/>
          <w:sz w:val="32"/>
          <w:szCs w:val="32"/>
        </w:rPr>
      </w:pPr>
    </w:p>
    <w:p w14:paraId="0BCA1FCA">
      <w:pPr>
        <w:pStyle w:val="3"/>
      </w:pPr>
    </w:p>
    <w:p w14:paraId="2D836DFC"/>
    <w:p w14:paraId="7FD1E45B">
      <w:pPr>
        <w:pStyle w:val="7"/>
      </w:pPr>
    </w:p>
    <w:p w14:paraId="729CBE73">
      <w:pPr>
        <w:pStyle w:val="3"/>
      </w:pPr>
    </w:p>
    <w:p w14:paraId="6239BE9C"/>
    <w:p w14:paraId="433A2C55">
      <w:pPr>
        <w:pStyle w:val="7"/>
      </w:pPr>
    </w:p>
    <w:p w14:paraId="4016EC75">
      <w:pPr>
        <w:pStyle w:val="3"/>
      </w:pPr>
    </w:p>
    <w:p w14:paraId="070BA122"/>
    <w:p w14:paraId="31EAC0E3">
      <w:pPr>
        <w:pStyle w:val="7"/>
      </w:pPr>
    </w:p>
    <w:p w14:paraId="63461FD6">
      <w:pPr>
        <w:pStyle w:val="12"/>
        <w:jc w:val="both"/>
        <w:rPr>
          <w:rFonts w:hint="eastAsia" w:ascii="方正小标宋_GBK" w:hAnsi="方正小标宋_GBK" w:eastAsia="方正小标宋_GBK" w:cs="方正小标宋_GBK"/>
          <w:sz w:val="72"/>
          <w:szCs w:val="72"/>
        </w:rPr>
      </w:pPr>
      <w:bookmarkStart w:id="0" w:name="_GoBack"/>
      <w:bookmarkEnd w:id="0"/>
    </w:p>
    <w:p w14:paraId="60C7D1C0">
      <w:pPr>
        <w:pStyle w:val="12"/>
        <w:jc w:val="center"/>
        <w:rPr>
          <w:rFonts w:hint="eastAsia" w:ascii="方正小标宋_GBK" w:hAnsi="方正小标宋_GBK" w:eastAsia="方正小标宋_GBK" w:cs="方正小标宋_GBK"/>
          <w:sz w:val="70"/>
          <w:szCs w:val="70"/>
        </w:rPr>
      </w:pPr>
      <w:r>
        <w:rPr>
          <w:rFonts w:hint="eastAsia" w:ascii="方正小标宋_GBK" w:hAnsi="方正小标宋_GBK" w:eastAsia="方正小标宋_GBK" w:cs="方正小标宋_GBK"/>
          <w:sz w:val="72"/>
          <w:szCs w:val="72"/>
        </w:rPr>
        <w:t>第</w:t>
      </w:r>
      <w:r>
        <w:rPr>
          <w:rFonts w:hint="eastAsia" w:ascii="方正小标宋_GBK" w:hAnsi="方正小标宋_GBK" w:eastAsia="方正小标宋_GBK" w:cs="方正小标宋_GBK"/>
          <w:sz w:val="72"/>
          <w:szCs w:val="72"/>
          <w:lang w:eastAsia="zh-CN"/>
        </w:rPr>
        <w:t>五</w:t>
      </w:r>
      <w:r>
        <w:rPr>
          <w:rFonts w:hint="eastAsia" w:ascii="方正小标宋_GBK" w:hAnsi="方正小标宋_GBK" w:eastAsia="方正小标宋_GBK" w:cs="方正小标宋_GBK"/>
          <w:sz w:val="72"/>
          <w:szCs w:val="72"/>
        </w:rPr>
        <w:t>部分</w:t>
      </w:r>
    </w:p>
    <w:p w14:paraId="58007346">
      <w:pPr>
        <w:pStyle w:val="12"/>
        <w:jc w:val="both"/>
        <w:rPr>
          <w:rFonts w:hint="eastAsia" w:ascii="方正小标宋_GBK" w:hAnsi="方正小标宋_GBK" w:eastAsia="方正小标宋_GBK" w:cs="方正小标宋_GBK"/>
          <w:sz w:val="70"/>
          <w:szCs w:val="70"/>
          <w:lang w:eastAsia="zh-CN"/>
        </w:rPr>
      </w:pPr>
    </w:p>
    <w:p w14:paraId="2BEF12A6">
      <w:pPr>
        <w:pStyle w:val="12"/>
        <w:jc w:val="center"/>
        <w:rPr>
          <w:rFonts w:hint="eastAsia" w:ascii="方正小标宋_GBK" w:hAnsi="方正小标宋_GBK" w:eastAsia="方正小标宋_GBK" w:cs="方正小标宋_GBK"/>
          <w:sz w:val="70"/>
          <w:szCs w:val="70"/>
          <w:lang w:eastAsia="zh-CN"/>
        </w:rPr>
      </w:pPr>
      <w:r>
        <w:rPr>
          <w:rFonts w:hint="eastAsia" w:ascii="方正小标宋_GBK" w:hAnsi="方正小标宋_GBK" w:eastAsia="方正小标宋_GBK" w:cs="方正小标宋_GBK"/>
          <w:sz w:val="70"/>
          <w:szCs w:val="70"/>
          <w:lang w:eastAsia="zh-CN"/>
        </w:rPr>
        <w:t>附</w:t>
      </w:r>
      <w:r>
        <w:rPr>
          <w:rFonts w:hint="eastAsia" w:ascii="方正小标宋_GBK" w:hAnsi="方正小标宋_GBK" w:eastAsia="方正小标宋_GBK" w:cs="方正小标宋_GBK"/>
          <w:sz w:val="70"/>
          <w:szCs w:val="70"/>
          <w:lang w:val="en-US" w:eastAsia="zh-CN"/>
        </w:rPr>
        <w:t xml:space="preserve"> </w:t>
      </w:r>
      <w:r>
        <w:rPr>
          <w:rFonts w:hint="eastAsia" w:ascii="方正小标宋_GBK" w:hAnsi="方正小标宋_GBK" w:eastAsia="方正小标宋_GBK" w:cs="方正小标宋_GBK"/>
          <w:sz w:val="70"/>
          <w:szCs w:val="70"/>
          <w:lang w:eastAsia="zh-CN"/>
        </w:rPr>
        <w:t>件</w:t>
      </w:r>
    </w:p>
    <w:p w14:paraId="031E2719">
      <w:pPr>
        <w:ind w:firstLine="640" w:firstLineChars="200"/>
        <w:jc w:val="left"/>
        <w:rPr>
          <w:rFonts w:hint="eastAsia" w:ascii="宋体" w:hAnsi="宋体" w:eastAsia="宋体" w:cs="黑体"/>
          <w:b/>
          <w:color w:val="000000"/>
          <w:kern w:val="0"/>
          <w:sz w:val="32"/>
          <w:szCs w:val="32"/>
          <w:lang w:val="en-US" w:eastAsia="zh-CN"/>
        </w:rPr>
      </w:pPr>
    </w:p>
    <w:p w14:paraId="3A7CD61C">
      <w:pPr>
        <w:ind w:firstLine="640" w:firstLineChars="200"/>
        <w:jc w:val="left"/>
        <w:rPr>
          <w:rFonts w:hint="eastAsia" w:ascii="宋体" w:hAnsi="宋体" w:eastAsia="宋体" w:cs="黑体"/>
          <w:b/>
          <w:color w:val="000000"/>
          <w:kern w:val="0"/>
          <w:sz w:val="32"/>
          <w:szCs w:val="32"/>
          <w:lang w:val="en-US" w:eastAsia="zh-CN"/>
        </w:rPr>
      </w:pPr>
      <w:r>
        <w:rPr>
          <w:rFonts w:hint="eastAsia" w:ascii="宋体" w:hAnsi="宋体" w:eastAsia="宋体" w:cs="黑体"/>
          <w:b/>
          <w:color w:val="000000"/>
          <w:kern w:val="0"/>
          <w:sz w:val="32"/>
          <w:szCs w:val="32"/>
          <w:lang w:val="en-US" w:eastAsia="zh-CN"/>
        </w:rPr>
        <w:t>1、</w:t>
      </w:r>
      <w:r>
        <w:rPr>
          <w:rFonts w:hint="eastAsia" w:ascii="宋体" w:hAnsi="宋体" w:eastAsia="宋体" w:cs="黑体"/>
          <w:b/>
          <w:color w:val="000000"/>
          <w:kern w:val="0"/>
          <w:sz w:val="32"/>
          <w:szCs w:val="32"/>
          <w:highlight w:val="none"/>
          <w:lang w:val="en-US" w:eastAsia="zh-CN"/>
        </w:rPr>
        <w:t>2025年</w:t>
      </w:r>
      <w:r>
        <w:rPr>
          <w:rFonts w:hint="eastAsia" w:ascii="宋体" w:hAnsi="宋体" w:eastAsia="宋体" w:cs="黑体"/>
          <w:b/>
          <w:color w:val="000000"/>
          <w:kern w:val="0"/>
          <w:sz w:val="32"/>
          <w:szCs w:val="32"/>
          <w:lang w:val="en-US" w:eastAsia="zh-CN"/>
        </w:rPr>
        <w:t>部门决算公开表格</w:t>
      </w:r>
    </w:p>
    <w:p w14:paraId="36B3C240">
      <w:pPr>
        <w:ind w:firstLine="640" w:firstLineChars="200"/>
        <w:jc w:val="left"/>
        <w:rPr>
          <w:rFonts w:ascii="宋体" w:hAnsi="宋体" w:eastAsia="宋体" w:cs="黑体"/>
          <w:color w:val="000000"/>
          <w:kern w:val="0"/>
          <w:sz w:val="32"/>
          <w:szCs w:val="32"/>
        </w:rPr>
      </w:pPr>
      <w:r>
        <w:rPr>
          <w:rFonts w:hint="eastAsia" w:ascii="宋体" w:hAnsi="宋体" w:eastAsia="宋体" w:cs="黑体"/>
          <w:b/>
          <w:color w:val="000000"/>
          <w:kern w:val="0"/>
          <w:sz w:val="32"/>
          <w:szCs w:val="32"/>
          <w:lang w:val="en-US" w:eastAsia="zh-CN"/>
        </w:rPr>
        <w:t>2、</w:t>
      </w:r>
      <w:r>
        <w:rPr>
          <w:rFonts w:hint="eastAsia" w:ascii="宋体" w:hAnsi="宋体" w:eastAsia="宋体" w:cs="黑体"/>
          <w:b/>
          <w:color w:val="000000"/>
          <w:kern w:val="0"/>
          <w:sz w:val="32"/>
          <w:szCs w:val="32"/>
          <w:highlight w:val="none"/>
          <w:lang w:eastAsia="zh-CN"/>
        </w:rPr>
        <w:t>2025年</w:t>
      </w:r>
      <w:r>
        <w:rPr>
          <w:rFonts w:hint="eastAsia" w:ascii="宋体" w:hAnsi="宋体" w:eastAsia="宋体" w:cs="黑体"/>
          <w:b/>
          <w:color w:val="000000"/>
          <w:kern w:val="0"/>
          <w:sz w:val="32"/>
          <w:szCs w:val="32"/>
        </w:rPr>
        <w:t>度部门整体支出绩效评价报告</w:t>
      </w:r>
    </w:p>
    <w:p w14:paraId="40458A7D"/>
    <w:sectPr>
      <w:pgSz w:w="11906" w:h="16838"/>
      <w:pgMar w:top="720" w:right="720" w:bottom="720" w:left="72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微软雅黑"/>
    <w:panose1 w:val="02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SI仿宋-GB2312">
    <w:altName w:val="仿宋"/>
    <w:panose1 w:val="02000500000000000000"/>
    <w:charset w:val="86"/>
    <w:family w:val="auto"/>
    <w:pitch w:val="default"/>
    <w:sig w:usb0="00000000" w:usb1="00000000" w:usb2="00000010" w:usb3="00000000" w:csb0="0004000F" w:csb1="0000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EDECFD4"/>
    <w:multiLevelType w:val="singleLevel"/>
    <w:tmpl w:val="8EDECFD4"/>
    <w:lvl w:ilvl="0" w:tentative="0">
      <w:start w:val="3"/>
      <w:numFmt w:val="chineseCounting"/>
      <w:suff w:val="nothing"/>
      <w:lvlText w:val="（%1）"/>
      <w:lvlJc w:val="left"/>
      <w:rPr>
        <w:rFonts w:hint="eastAsia"/>
      </w:rPr>
    </w:lvl>
  </w:abstractNum>
  <w:abstractNum w:abstractNumId="1">
    <w:nsid w:val="373518C1"/>
    <w:multiLevelType w:val="multilevel"/>
    <w:tmpl w:val="373518C1"/>
    <w:lvl w:ilvl="0" w:tentative="0">
      <w:start w:val="1"/>
      <w:numFmt w:val="none"/>
      <w:lvlText w:val="一、"/>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2229B"/>
    <w:rsid w:val="000273BD"/>
    <w:rsid w:val="00040CBC"/>
    <w:rsid w:val="000415B7"/>
    <w:rsid w:val="00041E3F"/>
    <w:rsid w:val="00055DAA"/>
    <w:rsid w:val="00061F7B"/>
    <w:rsid w:val="000658A3"/>
    <w:rsid w:val="00074155"/>
    <w:rsid w:val="000A3F69"/>
    <w:rsid w:val="00103957"/>
    <w:rsid w:val="00152C6D"/>
    <w:rsid w:val="00162D39"/>
    <w:rsid w:val="001678BD"/>
    <w:rsid w:val="00182373"/>
    <w:rsid w:val="001A67DB"/>
    <w:rsid w:val="001C3C29"/>
    <w:rsid w:val="001D51E5"/>
    <w:rsid w:val="001E080D"/>
    <w:rsid w:val="001E53D0"/>
    <w:rsid w:val="001F0C3B"/>
    <w:rsid w:val="00202C82"/>
    <w:rsid w:val="00214427"/>
    <w:rsid w:val="00226CB7"/>
    <w:rsid w:val="00264552"/>
    <w:rsid w:val="00264EF9"/>
    <w:rsid w:val="00265724"/>
    <w:rsid w:val="0027426B"/>
    <w:rsid w:val="002E0A30"/>
    <w:rsid w:val="003130C4"/>
    <w:rsid w:val="00316C4B"/>
    <w:rsid w:val="0032192B"/>
    <w:rsid w:val="003479BD"/>
    <w:rsid w:val="0037197D"/>
    <w:rsid w:val="003768D5"/>
    <w:rsid w:val="003926B9"/>
    <w:rsid w:val="003C47E6"/>
    <w:rsid w:val="003C4FC2"/>
    <w:rsid w:val="00416E61"/>
    <w:rsid w:val="0042790C"/>
    <w:rsid w:val="004506F9"/>
    <w:rsid w:val="004717A2"/>
    <w:rsid w:val="00473DF3"/>
    <w:rsid w:val="00487911"/>
    <w:rsid w:val="00491741"/>
    <w:rsid w:val="004B0CEE"/>
    <w:rsid w:val="00500E5F"/>
    <w:rsid w:val="005122EF"/>
    <w:rsid w:val="0051441A"/>
    <w:rsid w:val="00517C33"/>
    <w:rsid w:val="00517D5F"/>
    <w:rsid w:val="00523644"/>
    <w:rsid w:val="0054069E"/>
    <w:rsid w:val="00544866"/>
    <w:rsid w:val="005767CC"/>
    <w:rsid w:val="00590D9F"/>
    <w:rsid w:val="00595D26"/>
    <w:rsid w:val="005A74E6"/>
    <w:rsid w:val="005B404E"/>
    <w:rsid w:val="005D4D55"/>
    <w:rsid w:val="005E2CFB"/>
    <w:rsid w:val="005F2103"/>
    <w:rsid w:val="005F3D1C"/>
    <w:rsid w:val="0062378F"/>
    <w:rsid w:val="00641842"/>
    <w:rsid w:val="00651EEC"/>
    <w:rsid w:val="00686673"/>
    <w:rsid w:val="00691E8C"/>
    <w:rsid w:val="006A22C4"/>
    <w:rsid w:val="006A351B"/>
    <w:rsid w:val="006B0422"/>
    <w:rsid w:val="006C1B53"/>
    <w:rsid w:val="006D7730"/>
    <w:rsid w:val="006E5284"/>
    <w:rsid w:val="006F3EB5"/>
    <w:rsid w:val="00702E34"/>
    <w:rsid w:val="00704395"/>
    <w:rsid w:val="00710FE7"/>
    <w:rsid w:val="00717621"/>
    <w:rsid w:val="00720FF1"/>
    <w:rsid w:val="00727A53"/>
    <w:rsid w:val="00787B42"/>
    <w:rsid w:val="007C4539"/>
    <w:rsid w:val="007F3657"/>
    <w:rsid w:val="00812ED5"/>
    <w:rsid w:val="008277D9"/>
    <w:rsid w:val="0084478C"/>
    <w:rsid w:val="0086638C"/>
    <w:rsid w:val="008A3E8D"/>
    <w:rsid w:val="009237C4"/>
    <w:rsid w:val="00944C48"/>
    <w:rsid w:val="00950252"/>
    <w:rsid w:val="00967F5D"/>
    <w:rsid w:val="009A0F95"/>
    <w:rsid w:val="009B3ADF"/>
    <w:rsid w:val="009B4D8E"/>
    <w:rsid w:val="009C3B52"/>
    <w:rsid w:val="009E6817"/>
    <w:rsid w:val="009E6E9A"/>
    <w:rsid w:val="00A01D2B"/>
    <w:rsid w:val="00A42218"/>
    <w:rsid w:val="00A43989"/>
    <w:rsid w:val="00A70249"/>
    <w:rsid w:val="00A70B02"/>
    <w:rsid w:val="00A71D9F"/>
    <w:rsid w:val="00A92E9F"/>
    <w:rsid w:val="00AB18FF"/>
    <w:rsid w:val="00B33BEA"/>
    <w:rsid w:val="00B57C9F"/>
    <w:rsid w:val="00B63572"/>
    <w:rsid w:val="00B845B3"/>
    <w:rsid w:val="00B85D8B"/>
    <w:rsid w:val="00BB4A40"/>
    <w:rsid w:val="00BD6C3E"/>
    <w:rsid w:val="00BE3674"/>
    <w:rsid w:val="00C10681"/>
    <w:rsid w:val="00C3049A"/>
    <w:rsid w:val="00C31B1E"/>
    <w:rsid w:val="00C77645"/>
    <w:rsid w:val="00CE04C3"/>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59958AD"/>
    <w:rsid w:val="0618289E"/>
    <w:rsid w:val="06C857E7"/>
    <w:rsid w:val="08862B80"/>
    <w:rsid w:val="08C24A73"/>
    <w:rsid w:val="0AA33B42"/>
    <w:rsid w:val="0B862ECB"/>
    <w:rsid w:val="0D7510DD"/>
    <w:rsid w:val="0F402930"/>
    <w:rsid w:val="0FC47022"/>
    <w:rsid w:val="11944E2C"/>
    <w:rsid w:val="12583BA5"/>
    <w:rsid w:val="13BA5B9C"/>
    <w:rsid w:val="14DF7D4F"/>
    <w:rsid w:val="1A347747"/>
    <w:rsid w:val="1C302D07"/>
    <w:rsid w:val="1C59511A"/>
    <w:rsid w:val="1D97DEFF"/>
    <w:rsid w:val="1DC13FCB"/>
    <w:rsid w:val="1DFF72E5"/>
    <w:rsid w:val="1EFC6F07"/>
    <w:rsid w:val="1F0527A6"/>
    <w:rsid w:val="22AC03C2"/>
    <w:rsid w:val="26FB2B6A"/>
    <w:rsid w:val="283B15FE"/>
    <w:rsid w:val="284A31B1"/>
    <w:rsid w:val="2B4D50F0"/>
    <w:rsid w:val="2CB2345D"/>
    <w:rsid w:val="2CC4605C"/>
    <w:rsid w:val="2D3928CA"/>
    <w:rsid w:val="2FDF85B8"/>
    <w:rsid w:val="2FFFEE04"/>
    <w:rsid w:val="306B6A6E"/>
    <w:rsid w:val="30973596"/>
    <w:rsid w:val="31C95635"/>
    <w:rsid w:val="347E631A"/>
    <w:rsid w:val="34DF85B0"/>
    <w:rsid w:val="357F033F"/>
    <w:rsid w:val="36E802CD"/>
    <w:rsid w:val="39237490"/>
    <w:rsid w:val="3B8F36BC"/>
    <w:rsid w:val="41915319"/>
    <w:rsid w:val="42DA2667"/>
    <w:rsid w:val="43EB5BA5"/>
    <w:rsid w:val="456C67AA"/>
    <w:rsid w:val="491FF225"/>
    <w:rsid w:val="4DF51A59"/>
    <w:rsid w:val="4EC310A1"/>
    <w:rsid w:val="4F5943DE"/>
    <w:rsid w:val="4FFD214C"/>
    <w:rsid w:val="52C63EC7"/>
    <w:rsid w:val="53202487"/>
    <w:rsid w:val="5352765A"/>
    <w:rsid w:val="5378474F"/>
    <w:rsid w:val="54355E8A"/>
    <w:rsid w:val="56E60879"/>
    <w:rsid w:val="5777D4F5"/>
    <w:rsid w:val="57EBA9D6"/>
    <w:rsid w:val="57F22B6F"/>
    <w:rsid w:val="591C4789"/>
    <w:rsid w:val="59DD8326"/>
    <w:rsid w:val="5BAA4401"/>
    <w:rsid w:val="5D414205"/>
    <w:rsid w:val="5D822080"/>
    <w:rsid w:val="5DA64F62"/>
    <w:rsid w:val="5DEF592A"/>
    <w:rsid w:val="5E323B4E"/>
    <w:rsid w:val="5FA00187"/>
    <w:rsid w:val="5FC6BB1E"/>
    <w:rsid w:val="5FE9125B"/>
    <w:rsid w:val="5FF720F1"/>
    <w:rsid w:val="608D2FCC"/>
    <w:rsid w:val="622964C1"/>
    <w:rsid w:val="62512267"/>
    <w:rsid w:val="65437A2F"/>
    <w:rsid w:val="66702E18"/>
    <w:rsid w:val="67FF5C0B"/>
    <w:rsid w:val="6A2C363E"/>
    <w:rsid w:val="6A2D7FEB"/>
    <w:rsid w:val="6B160E37"/>
    <w:rsid w:val="6BAA4A2F"/>
    <w:rsid w:val="6C3F5DB4"/>
    <w:rsid w:val="6D8765A6"/>
    <w:rsid w:val="6DDEC5C0"/>
    <w:rsid w:val="6EFB6CE2"/>
    <w:rsid w:val="6EFC0924"/>
    <w:rsid w:val="6F9E8580"/>
    <w:rsid w:val="6FB74722"/>
    <w:rsid w:val="6FEF8B7E"/>
    <w:rsid w:val="70AF678E"/>
    <w:rsid w:val="717FE77F"/>
    <w:rsid w:val="71A6591B"/>
    <w:rsid w:val="7304596B"/>
    <w:rsid w:val="737D59BA"/>
    <w:rsid w:val="737F32B1"/>
    <w:rsid w:val="73BD3FCA"/>
    <w:rsid w:val="747D2EEE"/>
    <w:rsid w:val="76E94C76"/>
    <w:rsid w:val="776BDA01"/>
    <w:rsid w:val="77AF0997"/>
    <w:rsid w:val="77C37683"/>
    <w:rsid w:val="787E51F4"/>
    <w:rsid w:val="79FF515B"/>
    <w:rsid w:val="7AAA4D40"/>
    <w:rsid w:val="7B3A244B"/>
    <w:rsid w:val="7B934F67"/>
    <w:rsid w:val="7DFBFF20"/>
    <w:rsid w:val="7E9E1962"/>
    <w:rsid w:val="7E9F11B4"/>
    <w:rsid w:val="7F37EC1E"/>
    <w:rsid w:val="7F7C0DDA"/>
    <w:rsid w:val="7F7DCD9D"/>
    <w:rsid w:val="7F970A6F"/>
    <w:rsid w:val="7FC1FFF3"/>
    <w:rsid w:val="7FC69637"/>
    <w:rsid w:val="7FDF8620"/>
    <w:rsid w:val="7FFB242F"/>
    <w:rsid w:val="7FFDB408"/>
    <w:rsid w:val="7FFE4EEB"/>
    <w:rsid w:val="95FB2B98"/>
    <w:rsid w:val="9A639BC2"/>
    <w:rsid w:val="9FF7D786"/>
    <w:rsid w:val="ABBFB23D"/>
    <w:rsid w:val="B6BE5A03"/>
    <w:rsid w:val="B8C93228"/>
    <w:rsid w:val="C3B4DA5A"/>
    <w:rsid w:val="C4FF458C"/>
    <w:rsid w:val="C7BBD038"/>
    <w:rsid w:val="CBFF70E0"/>
    <w:rsid w:val="CFF50B82"/>
    <w:rsid w:val="CFFFAD89"/>
    <w:rsid w:val="DFFE359E"/>
    <w:rsid w:val="DFFE4FFD"/>
    <w:rsid w:val="DFFF5403"/>
    <w:rsid w:val="EBC3E00A"/>
    <w:rsid w:val="EDFBE100"/>
    <w:rsid w:val="EEABED75"/>
    <w:rsid w:val="EF7E8003"/>
    <w:rsid w:val="F56FDF51"/>
    <w:rsid w:val="F5F3EE78"/>
    <w:rsid w:val="F6B69F17"/>
    <w:rsid w:val="F6E5BB3A"/>
    <w:rsid w:val="F77F1D61"/>
    <w:rsid w:val="F7C36722"/>
    <w:rsid w:val="F7FED3A9"/>
    <w:rsid w:val="F8C9DB26"/>
    <w:rsid w:val="F97E8EAE"/>
    <w:rsid w:val="FB36E1A6"/>
    <w:rsid w:val="FB3BE134"/>
    <w:rsid w:val="FCFF4275"/>
    <w:rsid w:val="FD7FEEEA"/>
    <w:rsid w:val="FDFFB577"/>
    <w:rsid w:val="FEEA50FE"/>
    <w:rsid w:val="FF7D47A9"/>
    <w:rsid w:val="FFCF21CB"/>
    <w:rsid w:val="FFF94102"/>
    <w:rsid w:val="FFFF1C8B"/>
    <w:rsid w:val="FFFF74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3">
    <w:name w:val="Body Text First Indent 2"/>
    <w:basedOn w:val="2"/>
    <w:next w:val="1"/>
    <w:unhideWhenUsed/>
    <w:qFormat/>
    <w:uiPriority w:val="99"/>
    <w:pPr>
      <w:ind w:firstLine="420" w:firstLineChars="200"/>
    </w:pPr>
  </w:style>
  <w:style w:type="paragraph" w:styleId="4">
    <w:name w:val="Balloon Text"/>
    <w:basedOn w:val="1"/>
    <w:link w:val="14"/>
    <w:semiHidden/>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next w:val="3"/>
    <w:semiHidden/>
    <w:qFormat/>
    <w:uiPriority w:val="0"/>
    <w:pPr>
      <w:snapToGrid w:val="0"/>
      <w:jc w:val="left"/>
    </w:pPr>
    <w:rPr>
      <w:sz w:val="18"/>
      <w:szCs w:val="18"/>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paragraph" w:customStyle="1" w:styleId="12">
    <w:name w:val="Default"/>
    <w:qFormat/>
    <w:uiPriority w:val="0"/>
    <w:pPr>
      <w:widowControl w:val="0"/>
      <w:autoSpaceDE w:val="0"/>
      <w:autoSpaceDN w:val="0"/>
      <w:adjustRightInd w:val="0"/>
    </w:pPr>
    <w:rPr>
      <w:rFonts w:ascii="黑体" w:eastAsia="黑体" w:cs="黑体" w:hAnsiTheme="minorHAnsi"/>
      <w:color w:val="000000"/>
      <w:kern w:val="0"/>
      <w:sz w:val="24"/>
      <w:szCs w:val="24"/>
      <w:lang w:val="en-US" w:eastAsia="zh-CN" w:bidi="ar-SA"/>
    </w:rPr>
  </w:style>
  <w:style w:type="paragraph" w:styleId="13">
    <w:name w:val="List Paragraph"/>
    <w:basedOn w:val="1"/>
    <w:qFormat/>
    <w:uiPriority w:val="34"/>
    <w:pPr>
      <w:ind w:firstLine="420" w:firstLineChars="200"/>
    </w:pPr>
  </w:style>
  <w:style w:type="character" w:customStyle="1" w:styleId="14">
    <w:name w:val="批注框文本 Char"/>
    <w:basedOn w:val="9"/>
    <w:link w:val="4"/>
    <w:semiHidden/>
    <w:qFormat/>
    <w:uiPriority w:val="99"/>
    <w:rPr>
      <w:sz w:val="18"/>
      <w:szCs w:val="18"/>
    </w:rPr>
  </w:style>
  <w:style w:type="character" w:customStyle="1" w:styleId="15">
    <w:name w:val="font01"/>
    <w:basedOn w:val="9"/>
    <w:qFormat/>
    <w:uiPriority w:val="0"/>
    <w:rPr>
      <w:rFonts w:hint="eastAsia" w:ascii="宋体" w:hAnsi="宋体" w:eastAsia="宋体" w:cs="宋体"/>
      <w:color w:val="000000"/>
      <w:sz w:val="22"/>
      <w:szCs w:val="22"/>
      <w:u w:val="none"/>
    </w:rPr>
  </w:style>
  <w:style w:type="character" w:customStyle="1" w:styleId="16">
    <w:name w:val="font21"/>
    <w:basedOn w:val="9"/>
    <w:qFormat/>
    <w:uiPriority w:val="0"/>
    <w:rPr>
      <w:rFonts w:hint="eastAsia" w:ascii="宋体" w:hAnsi="宋体" w:eastAsia="宋体" w:cs="宋体"/>
      <w:color w:val="000000"/>
      <w:sz w:val="24"/>
      <w:szCs w:val="24"/>
      <w:u w:val="none"/>
    </w:rPr>
  </w:style>
  <w:style w:type="character" w:customStyle="1" w:styleId="17">
    <w:name w:val="font11"/>
    <w:basedOn w:val="9"/>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19</Pages>
  <Words>7399</Words>
  <Characters>8189</Characters>
  <Lines>63</Lines>
  <Paragraphs>18</Paragraphs>
  <TotalTime>12</TotalTime>
  <ScaleCrop>false</ScaleCrop>
  <LinksUpToDate>false</LinksUpToDate>
  <CharactersWithSpaces>8205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2020-07-11T10:32:00Z</dcterms:created>
  <dc:creator>李航 null</dc:creator>
  <cp:lastModifiedBy>YY</cp:lastModifiedBy>
  <cp:lastPrinted>2024-08-11T18:20:00Z</cp:lastPrinted>
  <dcterms:modified xsi:type="dcterms:W3CDTF">2026-10-09T06:00:05Z</dcterms:modified>
  <cp:revision>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98623D6660B449428EB8E073C6C952EA</vt:lpwstr>
  </property>
  <property fmtid="{D5CDD505-2E9C-101B-9397-08002B2CF9AE}" pid="4" name="KSOTemplateDocerSaveRecord">
    <vt:lpwstr>eyJoZGlkIjoiZTIwYjE2NzhkNDM2Y2Y5NzI2YzFkODFmZGY5MzM4MWUiLCJ1c2VySWQiOiI0OTYzNTAzMzUifQ==</vt:lpwstr>
  </property>
</Properties>
</file>