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EE032">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14:paraId="0E56E8CE">
      <w:pPr>
        <w:spacing w:after="120" w:afterLines="50" w:line="600" w:lineRule="exact"/>
        <w:jc w:val="center"/>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8"/>
        <w:tblW w:w="9673" w:type="dxa"/>
        <w:jc w:val="center"/>
        <w:tblLayout w:type="fixed"/>
        <w:tblCellMar>
          <w:top w:w="0" w:type="dxa"/>
          <w:left w:w="108" w:type="dxa"/>
          <w:bottom w:w="0" w:type="dxa"/>
          <w:right w:w="108" w:type="dxa"/>
        </w:tblCellMar>
      </w:tblPr>
      <w:tblGrid>
        <w:gridCol w:w="3354"/>
        <w:gridCol w:w="1189"/>
        <w:gridCol w:w="849"/>
        <w:gridCol w:w="1129"/>
        <w:gridCol w:w="1111"/>
        <w:gridCol w:w="978"/>
        <w:gridCol w:w="1063"/>
      </w:tblGrid>
      <w:tr w14:paraId="3D0BD04D">
        <w:tblPrEx>
          <w:tblCellMar>
            <w:top w:w="0" w:type="dxa"/>
            <w:left w:w="108" w:type="dxa"/>
            <w:bottom w:w="0" w:type="dxa"/>
            <w:right w:w="108" w:type="dxa"/>
          </w:tblCellMar>
        </w:tblPrEx>
        <w:trPr>
          <w:trHeight w:val="0" w:hRule="atLeast"/>
          <w:jc w:val="center"/>
        </w:trPr>
        <w:tc>
          <w:tcPr>
            <w:tcW w:w="3354" w:type="dxa"/>
            <w:vMerge w:val="restart"/>
            <w:tcBorders>
              <w:top w:val="single" w:color="auto" w:sz="4" w:space="0"/>
              <w:left w:val="single" w:color="auto" w:sz="4" w:space="0"/>
              <w:bottom w:val="single" w:color="auto" w:sz="4" w:space="0"/>
              <w:right w:val="single" w:color="auto" w:sz="4" w:space="0"/>
            </w:tcBorders>
            <w:noWrap w:val="0"/>
            <w:vAlign w:val="center"/>
          </w:tcPr>
          <w:p w14:paraId="54E036F6">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1DFEF6AC">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5DCF5C2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年实际在职人数</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2A775EC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14:paraId="1BB2EB0E">
        <w:tblPrEx>
          <w:tblCellMar>
            <w:top w:w="0" w:type="dxa"/>
            <w:left w:w="108" w:type="dxa"/>
            <w:bottom w:w="0" w:type="dxa"/>
            <w:right w:w="108" w:type="dxa"/>
          </w:tblCellMar>
        </w:tblPrEx>
        <w:trPr>
          <w:trHeight w:val="0" w:hRule="atLeast"/>
          <w:jc w:val="center"/>
        </w:trPr>
        <w:tc>
          <w:tcPr>
            <w:tcW w:w="3354" w:type="dxa"/>
            <w:vMerge w:val="continue"/>
            <w:tcBorders>
              <w:top w:val="single" w:color="auto" w:sz="4" w:space="0"/>
              <w:left w:val="single" w:color="auto" w:sz="4" w:space="0"/>
              <w:bottom w:val="single" w:color="auto" w:sz="4" w:space="0"/>
              <w:right w:val="single" w:color="auto" w:sz="4" w:space="0"/>
            </w:tcBorders>
            <w:noWrap w:val="0"/>
            <w:vAlign w:val="center"/>
          </w:tcPr>
          <w:p w14:paraId="7E3A131B">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2B036F5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316</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24286CC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rPr>
            </w:pPr>
            <w:r>
              <w:rPr>
                <w:rFonts w:hint="eastAsia" w:ascii="仿宋_GB2312" w:hAnsi="仿宋_GB2312" w:eastAsia="仿宋_GB2312" w:cs="仿宋_GB2312"/>
                <w:color w:val="auto"/>
                <w:sz w:val="20"/>
                <w:szCs w:val="20"/>
                <w:highlight w:val="none"/>
                <w:lang w:val="en-US" w:eastAsia="zh-CN"/>
              </w:rPr>
              <w:t>484</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6BD2B73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153.16%</w:t>
            </w:r>
          </w:p>
        </w:tc>
      </w:tr>
      <w:tr w14:paraId="694B52A6">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5508978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5E866C3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rPr>
              <w:t>年决算数</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1E947FA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3AF6AB4A">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14:paraId="51E4C374">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11E1BC4E">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1592250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25.34</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51EDD58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30.00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49B99A5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23.07</w:t>
            </w:r>
          </w:p>
        </w:tc>
      </w:tr>
      <w:tr w14:paraId="5B0436DF">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42321967">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2DB3FEC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25.34</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0ECA43E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30.00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5A5F0B1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23.07</w:t>
            </w:r>
          </w:p>
        </w:tc>
      </w:tr>
      <w:tr w14:paraId="04965048">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1897D9A0">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7514518A">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7B2BA86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3FD84F2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26AB0A25">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10E7587A">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01CE1D06">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25.34</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1FCCCAB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30.00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7D113C1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23.07</w:t>
            </w:r>
          </w:p>
        </w:tc>
      </w:tr>
      <w:tr w14:paraId="0D427946">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36FBDE2C">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5748D73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670119AA">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55D3029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39714C15">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4F9DB535">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2C8E4D2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54C088D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1412832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0809DC01">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39FC79B2">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0DE95FD0">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272.32</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2862460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390.30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1B8106C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358.41</w:t>
            </w:r>
          </w:p>
        </w:tc>
      </w:tr>
      <w:tr w14:paraId="69BAF82D">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04B78D04">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4FB6739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4828D69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6B9701E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58E58ECA">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7114DE82">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2EA00ED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0B580FF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6D4D2326">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71AD1D7A">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06C7CF4A">
            <w:pPr>
              <w:keepNext w:val="0"/>
              <w:keepLines w:val="0"/>
              <w:pageBreakBefore w:val="0"/>
              <w:widowControl/>
              <w:kinsoku/>
              <w:wordWrap/>
              <w:overflowPunct/>
              <w:topLinePunct w:val="0"/>
              <w:autoSpaceDE/>
              <w:autoSpaceDN/>
              <w:bidi w:val="0"/>
              <w:adjustRightInd/>
              <w:snapToGrid/>
              <w:spacing w:line="340" w:lineRule="exact"/>
              <w:ind w:firstLine="400" w:firstLineChars="200"/>
              <w:jc w:val="left"/>
              <w:textAlignment w:val="auto"/>
              <w:rPr>
                <w:rFonts w:hint="eastAsia"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w:t>
            </w:r>
            <w:r>
              <w:rPr>
                <w:rFonts w:hint="eastAsia" w:ascii="仿宋_GB2312" w:hAnsi="仿宋_GB2312" w:eastAsia="仿宋_GB2312" w:cs="仿宋_GB2312"/>
                <w:sz w:val="20"/>
                <w:szCs w:val="20"/>
                <w:highlight w:val="none"/>
                <w:lang w:eastAsia="zh-CN"/>
              </w:rPr>
              <w:t>金</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33D2504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272.32</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6885A514">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390.30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7775362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358.41</w:t>
            </w:r>
          </w:p>
        </w:tc>
      </w:tr>
      <w:tr w14:paraId="50BA9543">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7706D588">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rPr>
              <w:t xml:space="preserve">   </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1）</w:t>
            </w:r>
            <w:r>
              <w:rPr>
                <w:rFonts w:hint="eastAsia" w:ascii="仿宋_GB2312" w:hAnsi="仿宋_GB2312" w:eastAsia="仿宋_GB2312" w:cs="仿宋_GB2312"/>
                <w:sz w:val="20"/>
                <w:szCs w:val="20"/>
              </w:rPr>
              <w:t>城管事务管理经费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32F4C10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92.32</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30480CA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197.50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308BBBD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170.82</w:t>
            </w:r>
          </w:p>
        </w:tc>
      </w:tr>
      <w:tr w14:paraId="78B0B9DC">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6A9644F7">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rPr>
              <w:t xml:space="preserve">   </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2）</w:t>
            </w:r>
            <w:r>
              <w:rPr>
                <w:rFonts w:hint="default" w:ascii="仿宋_GB2312" w:hAnsi="仿宋_GB2312" w:eastAsia="仿宋_GB2312" w:cs="仿宋_GB2312"/>
                <w:sz w:val="20"/>
                <w:szCs w:val="20"/>
                <w:lang w:val="en-US" w:eastAsia="zh-CN"/>
              </w:rPr>
              <w:t>协管员经费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67EA183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180.00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17ABBD7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180.00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375FBDC6">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187.59</w:t>
            </w:r>
          </w:p>
        </w:tc>
      </w:tr>
      <w:tr w14:paraId="009B1522">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24F58603">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 xml:space="preserve">   （3）办案费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2171567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3170BB2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12.80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0E182C6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14:paraId="58A58AE5">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26335994">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577CAE9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216.70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39A4099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1130.10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5FA0F4F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546.42</w:t>
            </w:r>
          </w:p>
        </w:tc>
      </w:tr>
      <w:tr w14:paraId="479869E0">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276CF2D0">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3572595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FF0000"/>
                <w:sz w:val="20"/>
                <w:szCs w:val="20"/>
                <w:highlight w:val="none"/>
              </w:rPr>
            </w:pPr>
            <w:r>
              <w:rPr>
                <w:rFonts w:hint="eastAsia" w:ascii="仿宋_GB2312" w:hAnsi="仿宋_GB2312" w:eastAsia="仿宋_GB2312" w:cs="仿宋_GB2312"/>
                <w:color w:val="auto"/>
                <w:sz w:val="20"/>
                <w:szCs w:val="20"/>
                <w:highlight w:val="none"/>
                <w:lang w:val="en-US" w:eastAsia="zh-CN"/>
              </w:rPr>
              <w:t>22.29</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672B9D1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166.40</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76940505">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24.89</w:t>
            </w:r>
          </w:p>
        </w:tc>
      </w:tr>
      <w:tr w14:paraId="1B188825">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69C6C710">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3601C8DD">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FF0000"/>
                <w:sz w:val="20"/>
                <w:szCs w:val="20"/>
                <w:highlight w:val="none"/>
              </w:rPr>
            </w:pPr>
            <w:r>
              <w:rPr>
                <w:rFonts w:hint="eastAsia" w:ascii="仿宋_GB2312" w:hAnsi="仿宋_GB2312" w:eastAsia="仿宋_GB2312" w:cs="仿宋_GB2312"/>
                <w:color w:val="auto"/>
                <w:sz w:val="20"/>
                <w:szCs w:val="20"/>
                <w:highlight w:val="none"/>
                <w:lang w:val="en-US" w:eastAsia="zh-CN"/>
              </w:rPr>
              <w:t>14.01</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59EEEE3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38.05</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40039F1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13.11</w:t>
            </w:r>
          </w:p>
        </w:tc>
      </w:tr>
      <w:tr w14:paraId="44B92760">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488960D0">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49BB74D2">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color w:val="FF0000"/>
                <w:sz w:val="20"/>
                <w:szCs w:val="20"/>
                <w:highlight w:val="none"/>
              </w:rPr>
            </w:pPr>
            <w:r>
              <w:rPr>
                <w:rFonts w:hint="eastAsia" w:ascii="仿宋_GB2312" w:hAnsi="仿宋_GB2312" w:eastAsia="仿宋_GB2312" w:cs="仿宋_GB2312"/>
                <w:color w:val="auto"/>
                <w:sz w:val="20"/>
                <w:szCs w:val="20"/>
                <w:highlight w:val="none"/>
                <w:lang w:val="en-US" w:eastAsia="zh-CN"/>
              </w:rPr>
              <w:t>2.51</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76040F4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11.7</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4AF8F04B">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17.55</w:t>
            </w:r>
          </w:p>
        </w:tc>
      </w:tr>
      <w:tr w14:paraId="071BA727">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61F360C0">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2C8EFA39">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415.00</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1E3DF718">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937.43</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1AA58B5F">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359.01</w:t>
            </w:r>
          </w:p>
        </w:tc>
      </w:tr>
      <w:tr w14:paraId="51BB352E">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43AB877A">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2038" w:type="dxa"/>
            <w:gridSpan w:val="2"/>
            <w:tcBorders>
              <w:top w:val="single" w:color="auto" w:sz="4" w:space="0"/>
              <w:left w:val="single" w:color="auto" w:sz="4" w:space="0"/>
              <w:bottom w:val="single" w:color="auto" w:sz="4" w:space="0"/>
              <w:right w:val="single" w:color="auto" w:sz="4" w:space="0"/>
            </w:tcBorders>
            <w:noWrap w:val="0"/>
            <w:vAlign w:val="center"/>
          </w:tcPr>
          <w:p w14:paraId="433DDC4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1674.32</w:t>
            </w:r>
          </w:p>
        </w:tc>
        <w:tc>
          <w:tcPr>
            <w:tcW w:w="2240" w:type="dxa"/>
            <w:gridSpan w:val="2"/>
            <w:tcBorders>
              <w:top w:val="single" w:color="auto" w:sz="4" w:space="0"/>
              <w:left w:val="single" w:color="auto" w:sz="4" w:space="0"/>
              <w:bottom w:val="single" w:color="auto" w:sz="4" w:space="0"/>
              <w:right w:val="single" w:color="auto" w:sz="4" w:space="0"/>
            </w:tcBorders>
            <w:noWrap w:val="0"/>
            <w:vAlign w:val="center"/>
          </w:tcPr>
          <w:p w14:paraId="6ADEC741">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7945.27</w:t>
            </w:r>
          </w:p>
        </w:tc>
        <w:tc>
          <w:tcPr>
            <w:tcW w:w="2041" w:type="dxa"/>
            <w:gridSpan w:val="2"/>
            <w:tcBorders>
              <w:top w:val="single" w:color="auto" w:sz="4" w:space="0"/>
              <w:left w:val="single" w:color="auto" w:sz="4" w:space="0"/>
              <w:bottom w:val="single" w:color="auto" w:sz="4" w:space="0"/>
              <w:right w:val="single" w:color="auto" w:sz="4" w:space="0"/>
            </w:tcBorders>
            <w:noWrap w:val="0"/>
            <w:vAlign w:val="center"/>
          </w:tcPr>
          <w:p w14:paraId="4B091BFE">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7574.22</w:t>
            </w:r>
          </w:p>
        </w:tc>
      </w:tr>
      <w:tr w14:paraId="498BEDDD">
        <w:tblPrEx>
          <w:tblCellMar>
            <w:top w:w="0" w:type="dxa"/>
            <w:left w:w="108" w:type="dxa"/>
            <w:bottom w:w="0" w:type="dxa"/>
            <w:right w:w="108" w:type="dxa"/>
          </w:tblCellMar>
        </w:tblPrEx>
        <w:trPr>
          <w:trHeight w:val="0" w:hRule="atLeast"/>
          <w:jc w:val="center"/>
        </w:trPr>
        <w:tc>
          <w:tcPr>
            <w:tcW w:w="3354" w:type="dxa"/>
            <w:vMerge w:val="restart"/>
            <w:tcBorders>
              <w:top w:val="single" w:color="auto" w:sz="4" w:space="0"/>
              <w:left w:val="single" w:color="auto" w:sz="4" w:space="0"/>
              <w:bottom w:val="single" w:color="auto" w:sz="4" w:space="0"/>
              <w:right w:val="single" w:color="auto" w:sz="4" w:space="0"/>
            </w:tcBorders>
            <w:noWrap w:val="0"/>
            <w:vAlign w:val="center"/>
          </w:tcPr>
          <w:p w14:paraId="3F4D418A">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eastAsia" w:ascii="仿宋_GB2312" w:hAnsi="仿宋_GB2312" w:eastAsia="仿宋_GB2312" w:cs="仿宋_GB2312"/>
                <w:sz w:val="20"/>
                <w:szCs w:val="20"/>
                <w:highlight w:val="none"/>
                <w:lang w:val="en-US" w:eastAsia="zh-CN"/>
              </w:rPr>
              <w:t>5</w:t>
            </w:r>
            <w:r>
              <w:rPr>
                <w:rFonts w:hint="eastAsia" w:ascii="仿宋_GB2312" w:hAnsi="仿宋_GB2312" w:eastAsia="仿宋_GB2312" w:cs="仿宋_GB2312"/>
                <w:sz w:val="20"/>
                <w:szCs w:val="20"/>
                <w:highlight w:val="none"/>
              </w:rPr>
              <w:t>年完工项目）</w:t>
            </w:r>
          </w:p>
        </w:tc>
        <w:tc>
          <w:tcPr>
            <w:tcW w:w="1189" w:type="dxa"/>
            <w:tcBorders>
              <w:top w:val="single" w:color="auto" w:sz="4" w:space="0"/>
              <w:left w:val="single" w:color="auto" w:sz="4" w:space="0"/>
              <w:bottom w:val="single" w:color="auto" w:sz="4" w:space="0"/>
              <w:right w:val="single" w:color="auto" w:sz="4" w:space="0"/>
            </w:tcBorders>
            <w:noWrap w:val="0"/>
            <w:vAlign w:val="center"/>
          </w:tcPr>
          <w:p w14:paraId="02174FB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tcBorders>
              <w:top w:val="single" w:color="auto" w:sz="4" w:space="0"/>
              <w:left w:val="single" w:color="auto" w:sz="4" w:space="0"/>
              <w:bottom w:val="single" w:color="auto" w:sz="4" w:space="0"/>
              <w:right w:val="single" w:color="auto" w:sz="4" w:space="0"/>
            </w:tcBorders>
            <w:noWrap w:val="0"/>
            <w:vAlign w:val="center"/>
          </w:tcPr>
          <w:p w14:paraId="6ABA16F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482D08D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tcBorders>
              <w:top w:val="single" w:color="auto" w:sz="4" w:space="0"/>
              <w:left w:val="single" w:color="auto" w:sz="4" w:space="0"/>
              <w:bottom w:val="single" w:color="auto" w:sz="4" w:space="0"/>
              <w:right w:val="single" w:color="auto" w:sz="4" w:space="0"/>
            </w:tcBorders>
            <w:noWrap w:val="0"/>
            <w:vAlign w:val="center"/>
          </w:tcPr>
          <w:p w14:paraId="5DF3845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0F78131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1063" w:type="dxa"/>
            <w:tcBorders>
              <w:top w:val="single" w:color="auto" w:sz="4" w:space="0"/>
              <w:left w:val="single" w:color="auto" w:sz="4" w:space="0"/>
              <w:bottom w:val="single" w:color="auto" w:sz="4" w:space="0"/>
              <w:right w:val="single" w:color="auto" w:sz="4" w:space="0"/>
            </w:tcBorders>
            <w:noWrap w:val="0"/>
            <w:vAlign w:val="center"/>
          </w:tcPr>
          <w:p w14:paraId="211EF9A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14:paraId="5D6BD1A6">
        <w:tblPrEx>
          <w:tblCellMar>
            <w:top w:w="0" w:type="dxa"/>
            <w:left w:w="108" w:type="dxa"/>
            <w:bottom w:w="0" w:type="dxa"/>
            <w:right w:w="108" w:type="dxa"/>
          </w:tblCellMar>
        </w:tblPrEx>
        <w:trPr>
          <w:trHeight w:val="0" w:hRule="atLeast"/>
          <w:jc w:val="center"/>
        </w:trPr>
        <w:tc>
          <w:tcPr>
            <w:tcW w:w="3354" w:type="dxa"/>
            <w:vMerge w:val="continue"/>
            <w:tcBorders>
              <w:top w:val="single" w:color="auto" w:sz="4" w:space="0"/>
              <w:left w:val="single" w:color="auto" w:sz="4" w:space="0"/>
              <w:bottom w:val="single" w:color="auto" w:sz="4" w:space="0"/>
              <w:right w:val="single" w:color="auto" w:sz="4" w:space="0"/>
            </w:tcBorders>
            <w:noWrap w:val="0"/>
            <w:vAlign w:val="center"/>
          </w:tcPr>
          <w:p w14:paraId="6B98C954">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22836D33">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849" w:type="dxa"/>
            <w:tcBorders>
              <w:top w:val="single" w:color="auto" w:sz="4" w:space="0"/>
              <w:left w:val="single" w:color="auto" w:sz="4" w:space="0"/>
              <w:bottom w:val="single" w:color="auto" w:sz="4" w:space="0"/>
              <w:right w:val="single" w:color="auto" w:sz="4" w:space="0"/>
            </w:tcBorders>
            <w:noWrap w:val="0"/>
            <w:vAlign w:val="center"/>
          </w:tcPr>
          <w:p w14:paraId="3DF3292E">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662894E1">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111" w:type="dxa"/>
            <w:tcBorders>
              <w:top w:val="single" w:color="auto" w:sz="4" w:space="0"/>
              <w:left w:val="single" w:color="auto" w:sz="4" w:space="0"/>
              <w:bottom w:val="single" w:color="auto" w:sz="4" w:space="0"/>
              <w:right w:val="single" w:color="auto" w:sz="4" w:space="0"/>
            </w:tcBorders>
            <w:noWrap w:val="0"/>
            <w:vAlign w:val="center"/>
          </w:tcPr>
          <w:p w14:paraId="69A2ADB3">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21DA99AC">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1063" w:type="dxa"/>
            <w:tcBorders>
              <w:top w:val="single" w:color="auto" w:sz="4" w:space="0"/>
              <w:left w:val="single" w:color="auto" w:sz="4" w:space="0"/>
              <w:bottom w:val="single" w:color="auto" w:sz="4" w:space="0"/>
              <w:right w:val="single" w:color="auto" w:sz="4" w:space="0"/>
            </w:tcBorders>
            <w:noWrap w:val="0"/>
            <w:vAlign w:val="center"/>
          </w:tcPr>
          <w:p w14:paraId="7E78AE5D">
            <w:pPr>
              <w:keepNext w:val="0"/>
              <w:keepLines w:val="0"/>
              <w:pageBreakBefore w:val="0"/>
              <w:widowControl/>
              <w:kinsoku/>
              <w:wordWrap/>
              <w:overflowPunct/>
              <w:topLinePunct w:val="0"/>
              <w:autoSpaceDE/>
              <w:autoSpaceDN/>
              <w:bidi w:val="0"/>
              <w:adjustRightInd/>
              <w:snapToGrid/>
              <w:spacing w:line="340" w:lineRule="exact"/>
              <w:jc w:val="left"/>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w:t>
            </w:r>
          </w:p>
        </w:tc>
      </w:tr>
      <w:tr w14:paraId="5579A892">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14:paraId="51ABABE7">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319" w:type="dxa"/>
            <w:gridSpan w:val="6"/>
            <w:tcBorders>
              <w:top w:val="single" w:color="auto" w:sz="4" w:space="0"/>
              <w:left w:val="single" w:color="auto" w:sz="4" w:space="0"/>
              <w:bottom w:val="single" w:color="auto" w:sz="4" w:space="0"/>
              <w:right w:val="single" w:color="auto" w:sz="4" w:space="0"/>
            </w:tcBorders>
            <w:noWrap w:val="0"/>
            <w:vAlign w:val="center"/>
          </w:tcPr>
          <w:p w14:paraId="0F56C8D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lang w:val="en-US" w:eastAsia="zh-CN"/>
              </w:rPr>
              <w:t xml:space="preserve">    进一步完善了单位财务管理制度和内控管理制度，</w:t>
            </w:r>
            <w:r>
              <w:rPr>
                <w:rFonts w:hint="eastAsia" w:ascii="仿宋_GB2312" w:hAnsi="仿宋_GB2312" w:eastAsia="仿宋_GB2312" w:cs="仿宋_GB2312"/>
                <w:bCs/>
                <w:sz w:val="20"/>
                <w:szCs w:val="20"/>
                <w:lang w:val="en-US" w:eastAsia="zh-CN"/>
              </w:rPr>
              <w:t>各部门严格遵守制订的《财务管理制度》、《内控管理制度》等规章制度，</w:t>
            </w:r>
            <w:r>
              <w:rPr>
                <w:rFonts w:hint="eastAsia" w:ascii="仿宋_GB2312" w:hAnsi="仿宋_GB2312" w:eastAsia="仿宋_GB2312" w:cs="仿宋_GB2312"/>
                <w:bCs/>
                <w:sz w:val="20"/>
                <w:szCs w:val="20"/>
                <w:highlight w:val="none"/>
                <w:lang w:val="en-US" w:eastAsia="zh-CN"/>
              </w:rPr>
              <w:t>加强事前绩效评估管理，坚持先定事，再确定资金支出规模，压减一般性支出，进一步提升了财政资金支出效益。定期开展资产清查盘点工作，按照厉行节约、物尽其用的原则，资产管理采取统一建账、统一核算管理，每件固定资产使用明确保管职责，闲置的资产，由办公室统筹调配，合理流动，发挥其使用效益，提升资产资源利用效率。</w:t>
            </w:r>
            <w:r>
              <w:rPr>
                <w:rFonts w:hint="eastAsia" w:ascii="仿宋_GB2312" w:hAnsi="仿宋_GB2312" w:eastAsia="仿宋_GB2312" w:cs="仿宋_GB2312"/>
                <w:sz w:val="20"/>
                <w:szCs w:val="20"/>
                <w:highlight w:val="none"/>
              </w:rPr>
              <w:t>　</w:t>
            </w:r>
          </w:p>
        </w:tc>
      </w:tr>
    </w:tbl>
    <w:p w14:paraId="44013652">
      <w:pPr>
        <w:keepNext w:val="0"/>
        <w:keepLines w:val="0"/>
        <w:pageBreakBefore w:val="0"/>
        <w:widowControl/>
        <w:kinsoku/>
        <w:wordWrap/>
        <w:overflowPunct/>
        <w:topLinePunct w:val="0"/>
        <w:autoSpaceDE/>
        <w:autoSpaceDN/>
        <w:bidi w:val="0"/>
        <w:adjustRightInd/>
        <w:snapToGrid/>
        <w:spacing w:after="0" w:afterLines="0" w:line="340" w:lineRule="exact"/>
        <w:jc w:val="left"/>
        <w:textAlignment w:val="auto"/>
        <w:rPr>
          <w:rFonts w:hint="eastAsia" w:ascii="CESI仿宋-GB2312" w:hAnsi="CESI仿宋-GB2312" w:eastAsia="CESI仿宋-GB2312" w:cs="CESI仿宋-GB2312"/>
          <w:color w:val="auto"/>
          <w:sz w:val="22"/>
          <w:szCs w:val="22"/>
        </w:rPr>
      </w:pPr>
    </w:p>
    <w:p w14:paraId="62B2B0CE">
      <w:pPr>
        <w:keepNext w:val="0"/>
        <w:keepLines w:val="0"/>
        <w:pageBreakBefore w:val="0"/>
        <w:widowControl/>
        <w:kinsoku/>
        <w:wordWrap/>
        <w:overflowPunct/>
        <w:topLinePunct w:val="0"/>
        <w:autoSpaceDE/>
        <w:autoSpaceDN/>
        <w:bidi w:val="0"/>
        <w:adjustRightInd/>
        <w:snapToGrid/>
        <w:spacing w:after="0" w:afterLines="0" w:line="340" w:lineRule="exact"/>
        <w:jc w:val="left"/>
        <w:textAlignment w:val="auto"/>
        <w:rPr>
          <w:rFonts w:hint="eastAsia" w:ascii="CESI仿宋-GB2312" w:hAnsi="CESI仿宋-GB2312" w:eastAsia="CESI仿宋-GB2312" w:cs="CESI仿宋-GB2312"/>
          <w:color w:val="auto"/>
          <w:sz w:val="22"/>
          <w:szCs w:val="22"/>
          <w:lang w:eastAsia="zh-CN"/>
        </w:rPr>
      </w:pPr>
      <w:r>
        <w:rPr>
          <w:rFonts w:hint="eastAsia" w:ascii="CESI仿宋-GB2312" w:hAnsi="CESI仿宋-GB2312" w:eastAsia="CESI仿宋-GB2312" w:cs="CESI仿宋-GB2312"/>
          <w:color w:val="auto"/>
          <w:sz w:val="22"/>
          <w:szCs w:val="22"/>
        </w:rPr>
        <w:t>填表人</w:t>
      </w:r>
      <w:r>
        <w:rPr>
          <w:rFonts w:hint="eastAsia" w:ascii="CESI仿宋-GB2312" w:hAnsi="CESI仿宋-GB2312" w:eastAsia="CESI仿宋-GB2312" w:cs="CESI仿宋-GB2312"/>
          <w:color w:val="auto"/>
          <w:sz w:val="22"/>
          <w:szCs w:val="22"/>
          <w:lang w:eastAsia="zh-CN"/>
        </w:rPr>
        <w:t>：徐建</w:t>
      </w:r>
      <w:r>
        <w:rPr>
          <w:rFonts w:hint="eastAsia" w:ascii="CESI仿宋-GB2312" w:hAnsi="CESI仿宋-GB2312" w:eastAsia="CESI仿宋-GB2312" w:cs="CESI仿宋-GB2312"/>
          <w:color w:val="auto"/>
          <w:sz w:val="22"/>
          <w:szCs w:val="22"/>
          <w:lang w:val="en-US" w:eastAsia="zh-CN"/>
        </w:rPr>
        <w:t xml:space="preserve">  </w:t>
      </w:r>
      <w:r>
        <w:rPr>
          <w:rFonts w:hint="eastAsia" w:ascii="CESI仿宋-GB2312" w:hAnsi="CESI仿宋-GB2312" w:eastAsia="CESI仿宋-GB2312" w:cs="CESI仿宋-GB2312"/>
          <w:color w:val="auto"/>
          <w:sz w:val="22"/>
          <w:szCs w:val="22"/>
        </w:rPr>
        <w:t>填报日期：</w:t>
      </w:r>
      <w:r>
        <w:rPr>
          <w:rFonts w:hint="eastAsia" w:ascii="CESI仿宋-GB2312" w:hAnsi="CESI仿宋-GB2312" w:eastAsia="CESI仿宋-GB2312" w:cs="CESI仿宋-GB2312"/>
          <w:color w:val="auto"/>
          <w:sz w:val="22"/>
          <w:szCs w:val="22"/>
          <w:lang w:val="en-US" w:eastAsia="zh-CN"/>
        </w:rPr>
        <w:t>2026.6.15</w:t>
      </w:r>
      <w:r>
        <w:rPr>
          <w:rFonts w:hint="eastAsia" w:ascii="CESI仿宋-GB2312" w:hAnsi="CESI仿宋-GB2312" w:eastAsia="CESI仿宋-GB2312" w:cs="CESI仿宋-GB2312"/>
          <w:color w:val="auto"/>
          <w:sz w:val="22"/>
          <w:szCs w:val="22"/>
        </w:rPr>
        <w:t xml:space="preserve"> 联系电话：</w:t>
      </w:r>
      <w:r>
        <w:rPr>
          <w:rFonts w:hint="eastAsia" w:ascii="CESI仿宋-GB2312" w:hAnsi="CESI仿宋-GB2312" w:eastAsia="CESI仿宋-GB2312" w:cs="CESI仿宋-GB2312"/>
          <w:color w:val="auto"/>
          <w:sz w:val="22"/>
          <w:szCs w:val="22"/>
          <w:lang w:val="en-US" w:eastAsia="zh-CN"/>
        </w:rPr>
        <w:t>0730-8227298</w:t>
      </w:r>
      <w:r>
        <w:rPr>
          <w:rFonts w:hint="eastAsia" w:ascii="CESI仿宋-GB2312" w:hAnsi="CESI仿宋-GB2312" w:eastAsia="CESI仿宋-GB2312" w:cs="CESI仿宋-GB2312"/>
          <w:color w:val="auto"/>
          <w:sz w:val="22"/>
          <w:szCs w:val="22"/>
        </w:rPr>
        <w:t xml:space="preserve"> </w:t>
      </w:r>
      <w:r>
        <w:rPr>
          <w:rFonts w:hint="eastAsia" w:ascii="CESI仿宋-GB2312" w:hAnsi="CESI仿宋-GB2312" w:eastAsia="CESI仿宋-GB2312" w:cs="CESI仿宋-GB2312"/>
          <w:color w:val="auto"/>
          <w:sz w:val="22"/>
          <w:szCs w:val="22"/>
          <w:lang w:val="en-US" w:eastAsia="zh-CN"/>
        </w:rPr>
        <w:t xml:space="preserve"> </w:t>
      </w:r>
      <w:r>
        <w:rPr>
          <w:rFonts w:hint="eastAsia" w:ascii="CESI仿宋-GB2312" w:hAnsi="CESI仿宋-GB2312" w:eastAsia="CESI仿宋-GB2312" w:cs="CESI仿宋-GB2312"/>
          <w:color w:val="auto"/>
          <w:sz w:val="22"/>
          <w:szCs w:val="22"/>
        </w:rPr>
        <w:t>单位负责人：</w:t>
      </w:r>
      <w:r>
        <w:rPr>
          <w:rFonts w:hint="eastAsia" w:ascii="CESI仿宋-GB2312" w:hAnsi="CESI仿宋-GB2312" w:eastAsia="CESI仿宋-GB2312" w:cs="CESI仿宋-GB2312"/>
          <w:color w:val="auto"/>
          <w:sz w:val="22"/>
          <w:szCs w:val="22"/>
          <w:lang w:eastAsia="zh-CN"/>
        </w:rPr>
        <w:t>郭沫农</w:t>
      </w:r>
    </w:p>
    <w:p w14:paraId="7D28ADA6">
      <w:pPr>
        <w:widowControl/>
        <w:spacing w:after="0" w:afterLines="0" w:line="400" w:lineRule="exact"/>
        <w:jc w:val="left"/>
        <w:rPr>
          <w:rFonts w:hint="eastAsia" w:ascii="CESI仿宋-GB2312" w:hAnsi="CESI仿宋-GB2312" w:eastAsia="CESI仿宋-GB2312" w:cs="CESI仿宋-GB2312"/>
          <w:color w:val="auto"/>
          <w:sz w:val="32"/>
          <w:szCs w:val="32"/>
          <w:highlight w:val="none"/>
        </w:rPr>
      </w:pPr>
    </w:p>
    <w:p w14:paraId="261E3421">
      <w:pPr>
        <w:widowControl/>
        <w:spacing w:after="0" w:afterLines="0" w:line="400" w:lineRule="exact"/>
        <w:jc w:val="left"/>
        <w:rPr>
          <w:rFonts w:hint="eastAsia" w:ascii="CESI仿宋-GB2312" w:hAnsi="CESI仿宋-GB2312" w:eastAsia="CESI仿宋-GB2312" w:cs="CESI仿宋-GB2312"/>
          <w:b/>
          <w:bCs/>
          <w:color w:val="auto"/>
          <w:sz w:val="32"/>
          <w:szCs w:val="32"/>
          <w:highlight w:val="none"/>
        </w:rPr>
      </w:pPr>
    </w:p>
    <w:p w14:paraId="0312F22F">
      <w:pPr>
        <w:widowControl/>
        <w:spacing w:after="0" w:afterLines="0" w:line="400" w:lineRule="exact"/>
        <w:jc w:val="left"/>
        <w:rPr>
          <w:rFonts w:hint="eastAsia" w:ascii="CESI仿宋-GB2312" w:hAnsi="CESI仿宋-GB2312" w:eastAsia="CESI仿宋-GB2312" w:cs="CESI仿宋-GB2312"/>
          <w:b/>
          <w:bCs/>
          <w:color w:val="auto"/>
          <w:sz w:val="32"/>
          <w:szCs w:val="32"/>
          <w:highlight w:val="none"/>
          <w:lang w:eastAsia="zh-CN"/>
        </w:rPr>
      </w:pPr>
      <w:r>
        <w:rPr>
          <w:rFonts w:hint="eastAsia" w:ascii="CESI仿宋-GB2312" w:hAnsi="CESI仿宋-GB2312" w:eastAsia="CESI仿宋-GB2312" w:cs="CESI仿宋-GB2312"/>
          <w:b/>
          <w:bCs/>
          <w:color w:val="auto"/>
          <w:sz w:val="32"/>
          <w:szCs w:val="32"/>
          <w:highlight w:val="none"/>
        </w:rPr>
        <w:t>附件</w:t>
      </w:r>
      <w:r>
        <w:rPr>
          <w:rFonts w:hint="eastAsia" w:ascii="CESI仿宋-GB2312" w:hAnsi="CESI仿宋-GB2312" w:eastAsia="CESI仿宋-GB2312" w:cs="CESI仿宋-GB2312"/>
          <w:b/>
          <w:bCs/>
          <w:color w:val="auto"/>
          <w:sz w:val="32"/>
          <w:szCs w:val="32"/>
          <w:highlight w:val="none"/>
          <w:lang w:val="en-US" w:eastAsia="zh-CN"/>
        </w:rPr>
        <w:t>2</w:t>
      </w:r>
    </w:p>
    <w:p w14:paraId="4C8008F7">
      <w:pPr>
        <w:widowControl/>
        <w:spacing w:after="120" w:afterLines="50"/>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8"/>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1062"/>
        <w:gridCol w:w="1010"/>
        <w:gridCol w:w="1346"/>
        <w:gridCol w:w="1290"/>
        <w:gridCol w:w="1275"/>
        <w:gridCol w:w="780"/>
        <w:gridCol w:w="825"/>
        <w:gridCol w:w="1431"/>
      </w:tblGrid>
      <w:tr w14:paraId="01FC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noWrap w:val="0"/>
            <w:vAlign w:val="center"/>
          </w:tcPr>
          <w:p w14:paraId="546B51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9019" w:type="dxa"/>
            <w:gridSpan w:val="8"/>
            <w:noWrap w:val="0"/>
            <w:vAlign w:val="center"/>
          </w:tcPr>
          <w:p w14:paraId="668449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岳阳市城市管理综合行政执法支队</w:t>
            </w:r>
            <w:r>
              <w:rPr>
                <w:rFonts w:hint="eastAsia" w:ascii="仿宋_GB2312" w:hAnsi="仿宋_GB2312" w:eastAsia="仿宋_GB2312" w:cs="仿宋_GB2312"/>
                <w:color w:val="000000"/>
                <w:sz w:val="20"/>
                <w:szCs w:val="20"/>
                <w:highlight w:val="none"/>
              </w:rPr>
              <w:t>　</w:t>
            </w:r>
          </w:p>
        </w:tc>
      </w:tr>
      <w:tr w14:paraId="0929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restart"/>
            <w:noWrap w:val="0"/>
            <w:vAlign w:val="center"/>
          </w:tcPr>
          <w:p w14:paraId="499AEE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14:paraId="3CD250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072" w:type="dxa"/>
            <w:gridSpan w:val="2"/>
            <w:noWrap w:val="0"/>
            <w:vAlign w:val="center"/>
          </w:tcPr>
          <w:p w14:paraId="31CC1858">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p>
        </w:tc>
        <w:tc>
          <w:tcPr>
            <w:tcW w:w="1346" w:type="dxa"/>
            <w:noWrap w:val="0"/>
            <w:vAlign w:val="center"/>
          </w:tcPr>
          <w:p w14:paraId="12ADD88C">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290" w:type="dxa"/>
            <w:noWrap w:val="0"/>
            <w:vAlign w:val="center"/>
          </w:tcPr>
          <w:p w14:paraId="0AC1193D">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75" w:type="dxa"/>
            <w:noWrap w:val="0"/>
            <w:vAlign w:val="center"/>
          </w:tcPr>
          <w:p w14:paraId="2E1AEB45">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80" w:type="dxa"/>
            <w:noWrap w:val="0"/>
            <w:vAlign w:val="center"/>
          </w:tcPr>
          <w:p w14:paraId="0F0EA8A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25" w:type="dxa"/>
            <w:noWrap w:val="0"/>
            <w:vAlign w:val="center"/>
          </w:tcPr>
          <w:p w14:paraId="1D6CBF9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31" w:type="dxa"/>
            <w:noWrap w:val="0"/>
            <w:vAlign w:val="center"/>
          </w:tcPr>
          <w:p w14:paraId="3280C42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14:paraId="798A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297D45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2072" w:type="dxa"/>
            <w:gridSpan w:val="2"/>
            <w:noWrap w:val="0"/>
            <w:vAlign w:val="center"/>
          </w:tcPr>
          <w:p w14:paraId="56504A4A">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年度资金总额</w:t>
            </w:r>
          </w:p>
        </w:tc>
        <w:tc>
          <w:tcPr>
            <w:tcW w:w="1346" w:type="dxa"/>
            <w:noWrap w:val="0"/>
            <w:vAlign w:val="center"/>
          </w:tcPr>
          <w:p w14:paraId="6282F667">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8335.57</w:t>
            </w:r>
          </w:p>
        </w:tc>
        <w:tc>
          <w:tcPr>
            <w:tcW w:w="1290" w:type="dxa"/>
            <w:noWrap w:val="0"/>
            <w:vAlign w:val="center"/>
          </w:tcPr>
          <w:p w14:paraId="141F84A7">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8288.80</w:t>
            </w:r>
          </w:p>
        </w:tc>
        <w:tc>
          <w:tcPr>
            <w:tcW w:w="1275" w:type="dxa"/>
            <w:noWrap w:val="0"/>
            <w:vAlign w:val="center"/>
          </w:tcPr>
          <w:p w14:paraId="03865F48">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7934.65</w:t>
            </w:r>
          </w:p>
        </w:tc>
        <w:tc>
          <w:tcPr>
            <w:tcW w:w="780" w:type="dxa"/>
            <w:noWrap w:val="0"/>
            <w:vAlign w:val="center"/>
          </w:tcPr>
          <w:p w14:paraId="4868796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25" w:type="dxa"/>
            <w:noWrap w:val="0"/>
            <w:vAlign w:val="center"/>
          </w:tcPr>
          <w:p w14:paraId="7C68A1BF">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95.73%</w:t>
            </w:r>
          </w:p>
        </w:tc>
        <w:tc>
          <w:tcPr>
            <w:tcW w:w="1431" w:type="dxa"/>
            <w:noWrap w:val="0"/>
            <w:vAlign w:val="center"/>
          </w:tcPr>
          <w:p w14:paraId="63E08871">
            <w:pPr>
              <w:keepNext w:val="0"/>
              <w:keepLines w:val="0"/>
              <w:pageBreakBefore w:val="0"/>
              <w:kinsoku/>
              <w:wordWrap/>
              <w:overflowPunct/>
              <w:topLinePunct w:val="0"/>
              <w:autoSpaceDE/>
              <w:autoSpaceDN/>
              <w:bidi w:val="0"/>
              <w:adjustRightInd/>
              <w:snapToGrid/>
              <w:spacing w:line="240" w:lineRule="exact"/>
              <w:ind w:firstLine="400" w:firstLineChars="200"/>
              <w:jc w:val="both"/>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9.57</w:t>
            </w:r>
          </w:p>
        </w:tc>
      </w:tr>
      <w:tr w14:paraId="3761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575B3D2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708" w:type="dxa"/>
            <w:gridSpan w:val="4"/>
            <w:noWrap w:val="0"/>
            <w:vAlign w:val="center"/>
          </w:tcPr>
          <w:p w14:paraId="583628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按收入性质分：</w:t>
            </w:r>
          </w:p>
        </w:tc>
        <w:tc>
          <w:tcPr>
            <w:tcW w:w="4311" w:type="dxa"/>
            <w:gridSpan w:val="4"/>
            <w:noWrap w:val="0"/>
            <w:vAlign w:val="center"/>
          </w:tcPr>
          <w:p w14:paraId="41DCEA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按支出性质分：</w:t>
            </w:r>
          </w:p>
        </w:tc>
      </w:tr>
      <w:tr w14:paraId="1DF5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4B149D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708" w:type="dxa"/>
            <w:gridSpan w:val="4"/>
            <w:noWrap w:val="0"/>
            <w:vAlign w:val="center"/>
          </w:tcPr>
          <w:p w14:paraId="1CD152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xml:space="preserve"> </w:t>
            </w:r>
            <w:r>
              <w:rPr>
                <w:rFonts w:hint="eastAsia" w:ascii="仿宋_GB2312" w:hAnsi="仿宋_GB2312" w:eastAsia="仿宋_GB2312" w:cs="仿宋_GB2312"/>
                <w:color w:val="000000"/>
                <w:sz w:val="20"/>
                <w:szCs w:val="20"/>
                <w:highlight w:val="none"/>
                <w:lang w:val="en-US" w:eastAsia="zh-CN"/>
              </w:rPr>
              <w:t xml:space="preserve">      </w:t>
            </w:r>
            <w:r>
              <w:rPr>
                <w:rFonts w:hint="eastAsia" w:ascii="仿宋_GB2312" w:hAnsi="仿宋_GB2312" w:eastAsia="仿宋_GB2312" w:cs="仿宋_GB2312"/>
                <w:color w:val="000000"/>
                <w:sz w:val="20"/>
                <w:szCs w:val="20"/>
                <w:highlight w:val="none"/>
              </w:rPr>
              <w:t xml:space="preserve"> 其中</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一般公共预算：</w:t>
            </w:r>
            <w:r>
              <w:rPr>
                <w:rFonts w:hint="eastAsia" w:ascii="仿宋_GB2312" w:hAnsi="仿宋_GB2312" w:eastAsia="仿宋_GB2312" w:cs="仿宋_GB2312"/>
                <w:color w:val="auto"/>
                <w:sz w:val="20"/>
                <w:szCs w:val="20"/>
                <w:highlight w:val="none"/>
                <w:lang w:val="en-US" w:eastAsia="zh-CN"/>
              </w:rPr>
              <w:t>8226.15</w:t>
            </w:r>
          </w:p>
        </w:tc>
        <w:tc>
          <w:tcPr>
            <w:tcW w:w="4311" w:type="dxa"/>
            <w:gridSpan w:val="4"/>
            <w:noWrap w:val="0"/>
            <w:vAlign w:val="center"/>
          </w:tcPr>
          <w:p w14:paraId="5278FB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其中：基本支出：</w:t>
            </w:r>
            <w:r>
              <w:rPr>
                <w:rFonts w:hint="eastAsia" w:ascii="仿宋_GB2312" w:hAnsi="仿宋_GB2312" w:eastAsia="仿宋_GB2312" w:cs="仿宋_GB2312"/>
                <w:color w:val="000000"/>
                <w:sz w:val="20"/>
                <w:szCs w:val="20"/>
                <w:highlight w:val="none"/>
                <w:lang w:val="en-US" w:eastAsia="zh-CN"/>
              </w:rPr>
              <w:t>7576.24</w:t>
            </w:r>
          </w:p>
        </w:tc>
      </w:tr>
      <w:tr w14:paraId="1DFC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0" w:type="dxa"/>
            <w:vMerge w:val="continue"/>
            <w:noWrap w:val="0"/>
            <w:vAlign w:val="center"/>
          </w:tcPr>
          <w:p w14:paraId="0CC833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708" w:type="dxa"/>
            <w:gridSpan w:val="4"/>
            <w:noWrap w:val="0"/>
            <w:vAlign w:val="center"/>
          </w:tcPr>
          <w:p w14:paraId="682F7FCC">
            <w:pPr>
              <w:keepNext w:val="0"/>
              <w:keepLines w:val="0"/>
              <w:pageBreakBefore w:val="0"/>
              <w:widowControl/>
              <w:kinsoku/>
              <w:wordWrap/>
              <w:overflowPunct/>
              <w:topLinePunct w:val="0"/>
              <w:autoSpaceDE/>
              <w:autoSpaceDN/>
              <w:bidi w:val="0"/>
              <w:adjustRightInd/>
              <w:snapToGrid/>
              <w:spacing w:line="240" w:lineRule="exact"/>
              <w:ind w:firstLine="1200" w:firstLineChars="6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政府性基金拨款：</w:t>
            </w:r>
          </w:p>
        </w:tc>
        <w:tc>
          <w:tcPr>
            <w:tcW w:w="4311" w:type="dxa"/>
            <w:gridSpan w:val="4"/>
            <w:noWrap w:val="0"/>
            <w:vAlign w:val="center"/>
          </w:tcPr>
          <w:p w14:paraId="13A8F042">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项目支出：</w:t>
            </w:r>
            <w:r>
              <w:rPr>
                <w:rFonts w:hint="eastAsia" w:ascii="仿宋_GB2312" w:hAnsi="仿宋_GB2312" w:eastAsia="仿宋_GB2312" w:cs="仿宋_GB2312"/>
                <w:color w:val="000000"/>
                <w:sz w:val="20"/>
                <w:szCs w:val="20"/>
                <w:highlight w:val="none"/>
                <w:lang w:val="en-US" w:eastAsia="zh-CN"/>
              </w:rPr>
              <w:t>358.41</w:t>
            </w:r>
          </w:p>
        </w:tc>
      </w:tr>
      <w:tr w14:paraId="6AEA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60" w:type="dxa"/>
            <w:vMerge w:val="continue"/>
            <w:noWrap w:val="0"/>
            <w:vAlign w:val="center"/>
          </w:tcPr>
          <w:p w14:paraId="71714E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708" w:type="dxa"/>
            <w:gridSpan w:val="4"/>
            <w:noWrap w:val="0"/>
            <w:vAlign w:val="center"/>
          </w:tcPr>
          <w:p w14:paraId="49CCFC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纳入专户管理的非税收入拨款：</w:t>
            </w:r>
          </w:p>
        </w:tc>
        <w:tc>
          <w:tcPr>
            <w:tcW w:w="4311" w:type="dxa"/>
            <w:gridSpan w:val="4"/>
            <w:noWrap w:val="0"/>
            <w:vAlign w:val="center"/>
          </w:tcPr>
          <w:p w14:paraId="12854D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14:paraId="2C245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0" w:type="dxa"/>
            <w:vMerge w:val="continue"/>
            <w:noWrap w:val="0"/>
            <w:vAlign w:val="center"/>
          </w:tcPr>
          <w:p w14:paraId="29905E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708" w:type="dxa"/>
            <w:gridSpan w:val="4"/>
            <w:noWrap w:val="0"/>
            <w:vAlign w:val="center"/>
          </w:tcPr>
          <w:p w14:paraId="2AE2A85A">
            <w:pPr>
              <w:keepNext w:val="0"/>
              <w:keepLines w:val="0"/>
              <w:pageBreakBefore w:val="0"/>
              <w:widowControl/>
              <w:kinsoku/>
              <w:wordWrap/>
              <w:overflowPunct/>
              <w:topLinePunct w:val="0"/>
              <w:autoSpaceDE/>
              <w:autoSpaceDN/>
              <w:bidi w:val="0"/>
              <w:adjustRightInd/>
              <w:snapToGrid/>
              <w:spacing w:line="240" w:lineRule="exact"/>
              <w:ind w:firstLine="1800" w:firstLineChars="9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其他资金：</w:t>
            </w:r>
            <w:r>
              <w:rPr>
                <w:rFonts w:hint="eastAsia" w:ascii="仿宋_GB2312" w:hAnsi="仿宋_GB2312" w:eastAsia="仿宋_GB2312" w:cs="仿宋_GB2312"/>
                <w:color w:val="000000"/>
                <w:sz w:val="20"/>
                <w:szCs w:val="20"/>
                <w:highlight w:val="none"/>
                <w:lang w:val="en-US" w:eastAsia="zh-CN"/>
              </w:rPr>
              <w:t>62.65</w:t>
            </w:r>
          </w:p>
        </w:tc>
        <w:tc>
          <w:tcPr>
            <w:tcW w:w="4311" w:type="dxa"/>
            <w:gridSpan w:val="4"/>
            <w:noWrap w:val="0"/>
            <w:vAlign w:val="center"/>
          </w:tcPr>
          <w:p w14:paraId="5AD6EA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14:paraId="445D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60" w:type="dxa"/>
            <w:vMerge w:val="restart"/>
            <w:noWrap w:val="0"/>
            <w:vAlign w:val="center"/>
          </w:tcPr>
          <w:p w14:paraId="7CB7DC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708" w:type="dxa"/>
            <w:gridSpan w:val="4"/>
            <w:noWrap w:val="0"/>
            <w:vAlign w:val="center"/>
          </w:tcPr>
          <w:p w14:paraId="31B35B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11" w:type="dxa"/>
            <w:gridSpan w:val="4"/>
            <w:noWrap w:val="0"/>
            <w:vAlign w:val="center"/>
          </w:tcPr>
          <w:p w14:paraId="3EC77F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14:paraId="02BF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61BA3E8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4708" w:type="dxa"/>
            <w:gridSpan w:val="4"/>
            <w:noWrap w:val="0"/>
            <w:vAlign w:val="center"/>
          </w:tcPr>
          <w:p w14:paraId="08E819C2">
            <w:pPr>
              <w:keepNext w:val="0"/>
              <w:keepLines w:val="0"/>
              <w:pageBreakBefore w:val="0"/>
              <w:widowControl w:val="0"/>
              <w:kinsoku/>
              <w:wordWrap/>
              <w:overflowPunct/>
              <w:topLinePunct w:val="0"/>
              <w:autoSpaceDE/>
              <w:autoSpaceDN/>
              <w:bidi w:val="0"/>
              <w:adjustRightInd/>
              <w:snapToGrid/>
              <w:spacing w:line="280" w:lineRule="exact"/>
              <w:ind w:firstLine="400" w:firstLineChars="200"/>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成本指标：年支出金额控制在预算成本之内；2、产出指标：行政执法程序合法、依据合理，以事实为依据，以法律为准绳；及时处理违规行为，强化行政管理，案件办理达40起；按照计划和进度完成全年工作； 3、效益指标：依法行政、文明执法，管理和服务相结合，提升执法形象；确保市容秩序，为我市经济发展打下坚实基础，完成非税收入征收计划；加强常态化管理，确保市容秩序整洁、城区环境优美；4、满意度指标：公众对城管执法工作满意度高于95%。</w:t>
            </w:r>
          </w:p>
        </w:tc>
        <w:tc>
          <w:tcPr>
            <w:tcW w:w="4311" w:type="dxa"/>
            <w:gridSpan w:val="4"/>
            <w:noWrap w:val="0"/>
            <w:vAlign w:val="center"/>
          </w:tcPr>
          <w:p w14:paraId="251263E3">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400" w:firstLineChars="200"/>
              <w:jc w:val="left"/>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color w:val="000000"/>
                <w:sz w:val="20"/>
                <w:szCs w:val="20"/>
                <w:lang w:val="en-US" w:eastAsia="zh-CN"/>
              </w:rPr>
              <w:t>1、</w:t>
            </w:r>
            <w:r>
              <w:rPr>
                <w:rFonts w:hint="eastAsia" w:ascii="仿宋_GB2312" w:hAnsi="仿宋_GB2312" w:eastAsia="仿宋_GB2312" w:cs="仿宋_GB2312"/>
                <w:sz w:val="20"/>
                <w:szCs w:val="20"/>
                <w:lang w:eastAsia="zh-CN"/>
              </w:rPr>
              <w:t>贯彻执行国家有关城市管理方面的法律法规、规章</w:t>
            </w:r>
            <w:r>
              <w:rPr>
                <w:rFonts w:hint="eastAsia" w:ascii="仿宋_GB2312" w:hAnsi="仿宋_GB2312" w:eastAsia="仿宋_GB2312" w:cs="仿宋_GB2312"/>
                <w:sz w:val="20"/>
                <w:szCs w:val="20"/>
                <w:lang w:val="en-US" w:eastAsia="zh-CN"/>
              </w:rPr>
              <w:t>等</w:t>
            </w:r>
            <w:r>
              <w:rPr>
                <w:rFonts w:hint="eastAsia" w:ascii="仿宋_GB2312" w:hAnsi="仿宋_GB2312" w:eastAsia="仿宋_GB2312" w:cs="仿宋_GB2312"/>
                <w:sz w:val="20"/>
                <w:szCs w:val="20"/>
                <w:lang w:eastAsia="zh-CN"/>
              </w:rPr>
              <w:t>政策规定</w:t>
            </w:r>
            <w:r>
              <w:rPr>
                <w:rFonts w:hint="eastAsia" w:ascii="仿宋_GB2312" w:hAnsi="仿宋_GB2312" w:eastAsia="仿宋_GB2312" w:cs="仿宋_GB2312"/>
                <w:sz w:val="20"/>
                <w:szCs w:val="20"/>
                <w:lang w:val="en-US" w:eastAsia="zh-CN"/>
              </w:rPr>
              <w:t>效果良好，</w:t>
            </w:r>
            <w:r>
              <w:rPr>
                <w:rFonts w:hint="eastAsia" w:ascii="仿宋_GB2312" w:hAnsi="仿宋_GB2312" w:eastAsia="仿宋_GB2312" w:cs="仿宋_GB2312"/>
                <w:color w:val="000000"/>
                <w:sz w:val="20"/>
                <w:szCs w:val="20"/>
                <w:highlight w:val="none"/>
                <w:lang w:eastAsia="zh-CN"/>
              </w:rPr>
              <w:t>行政执法程序合法合规，以事实为依据，以法律为准绳，全年无法律纠纷</w:t>
            </w:r>
            <w:r>
              <w:rPr>
                <w:rFonts w:hint="eastAsia" w:ascii="仿宋_GB2312" w:hAnsi="仿宋_GB2312" w:eastAsia="仿宋_GB2312" w:cs="仿宋_GB2312"/>
                <w:color w:val="000000"/>
                <w:sz w:val="20"/>
                <w:szCs w:val="20"/>
                <w:highlight w:val="none"/>
              </w:rPr>
              <w:t>；</w:t>
            </w:r>
          </w:p>
          <w:p w14:paraId="6365F6AC">
            <w:pPr>
              <w:keepNext w:val="0"/>
              <w:keepLines w:val="0"/>
              <w:pageBreakBefore w:val="0"/>
              <w:kinsoku/>
              <w:wordWrap/>
              <w:overflowPunct/>
              <w:topLinePunct w:val="0"/>
              <w:autoSpaceDE/>
              <w:autoSpaceDN/>
              <w:bidi w:val="0"/>
              <w:adjustRightInd/>
              <w:snapToGrid/>
              <w:spacing w:line="280" w:lineRule="exact"/>
              <w:ind w:firstLine="400" w:firstLineChars="200"/>
              <w:textAlignment w:val="auto"/>
              <w:rPr>
                <w:rFonts w:hint="eastAsia" w:ascii="仿宋_GB2312" w:hAnsi="仿宋_GB2312" w:eastAsia="仿宋_GB2312" w:cs="仿宋_GB2312"/>
                <w:sz w:val="20"/>
                <w:szCs w:val="20"/>
              </w:rPr>
            </w:pPr>
            <w:r>
              <w:rPr>
                <w:rFonts w:hint="eastAsia" w:ascii="仿宋_GB2312" w:hAnsi="仿宋_GB2312" w:eastAsia="仿宋_GB2312" w:cs="仿宋_GB2312"/>
                <w:color w:val="000000"/>
                <w:sz w:val="20"/>
                <w:szCs w:val="20"/>
                <w:lang w:val="en-US" w:eastAsia="zh-CN"/>
              </w:rPr>
              <w:t>2、依法行使</w:t>
            </w:r>
            <w:r>
              <w:rPr>
                <w:rFonts w:hint="eastAsia" w:ascii="仿宋_GB2312" w:hAnsi="仿宋_GB2312" w:eastAsia="仿宋_GB2312" w:cs="仿宋_GB2312"/>
                <w:color w:val="000000"/>
                <w:sz w:val="20"/>
                <w:szCs w:val="20"/>
                <w:highlight w:val="none"/>
              </w:rPr>
              <w:t>市本级管理权限范围内</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城市管理方面的行政处罚权及相应的行政强制权</w:t>
            </w:r>
            <w:r>
              <w:rPr>
                <w:rFonts w:hint="eastAsia" w:ascii="仿宋_GB2312" w:hAnsi="仿宋_GB2312" w:eastAsia="仿宋_GB2312" w:cs="仿宋_GB2312"/>
                <w:color w:val="000000"/>
                <w:sz w:val="20"/>
                <w:szCs w:val="20"/>
                <w:highlight w:val="none"/>
                <w:lang w:eastAsia="zh-CN"/>
              </w:rPr>
              <w:t>，违规行为得到及时处置</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执法合法合规，效果良好</w:t>
            </w:r>
            <w:r>
              <w:rPr>
                <w:rFonts w:hint="eastAsia" w:ascii="仿宋_GB2312" w:hAnsi="仿宋_GB2312" w:eastAsia="仿宋_GB2312" w:cs="仿宋_GB2312"/>
                <w:sz w:val="20"/>
                <w:szCs w:val="20"/>
                <w:lang w:eastAsia="zh-CN"/>
              </w:rPr>
              <w:t>；</w:t>
            </w:r>
          </w:p>
          <w:p w14:paraId="48136C3A">
            <w:pPr>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3、进一步规范了</w:t>
            </w:r>
            <w:r>
              <w:rPr>
                <w:rFonts w:hint="eastAsia" w:ascii="仿宋_GB2312" w:hAnsi="仿宋_GB2312" w:eastAsia="仿宋_GB2312" w:cs="仿宋_GB2312"/>
                <w:color w:val="000000"/>
                <w:sz w:val="20"/>
                <w:szCs w:val="20"/>
                <w:highlight w:val="none"/>
                <w:lang w:eastAsia="zh-CN"/>
              </w:rPr>
              <w:t>行政执法程序和流程，管理和服务相结合，公众对城管执法工作认可度显著提升；</w:t>
            </w:r>
          </w:p>
          <w:p w14:paraId="14095442">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400" w:firstLineChars="200"/>
              <w:jc w:val="left"/>
              <w:textAlignment w:val="auto"/>
              <w:rPr>
                <w:rFonts w:hint="eastAsia" w:ascii="仿宋_GB2312" w:hAnsi="仿宋_GB2312" w:eastAsia="仿宋_GB2312" w:cs="仿宋_GB2312"/>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4、</w:t>
            </w:r>
            <w:r>
              <w:rPr>
                <w:rFonts w:hint="eastAsia" w:ascii="仿宋_GB2312" w:hAnsi="仿宋_GB2312" w:eastAsia="仿宋_GB2312" w:cs="仿宋_GB2312"/>
                <w:color w:val="000000"/>
                <w:kern w:val="0"/>
                <w:sz w:val="20"/>
                <w:szCs w:val="20"/>
                <w:highlight w:val="none"/>
                <w:lang w:val="en-US" w:eastAsia="zh-CN" w:bidi="ar-SA"/>
              </w:rPr>
              <w:t>加强了</w:t>
            </w:r>
            <w:r>
              <w:rPr>
                <w:rFonts w:hint="eastAsia" w:ascii="仿宋_GB2312" w:hAnsi="仿宋_GB2312" w:eastAsia="仿宋_GB2312" w:cs="仿宋_GB2312"/>
                <w:kern w:val="0"/>
                <w:sz w:val="20"/>
                <w:szCs w:val="20"/>
                <w:lang w:val="en-US" w:eastAsia="zh-CN" w:bidi="ar-SA"/>
              </w:rPr>
              <w:t>市本级管理权限范围内建筑施工场地噪音污染、扬尘污染等生态环境保护和</w:t>
            </w:r>
            <w:r>
              <w:rPr>
                <w:rFonts w:hint="eastAsia" w:ascii="仿宋_GB2312" w:hAnsi="仿宋_GB2312" w:eastAsia="仿宋_GB2312" w:cs="仿宋_GB2312"/>
                <w:color w:val="000000"/>
                <w:kern w:val="0"/>
                <w:sz w:val="20"/>
                <w:szCs w:val="20"/>
                <w:highlight w:val="none"/>
                <w:lang w:val="en-US" w:eastAsia="zh-CN" w:bidi="ar-SA"/>
              </w:rPr>
              <w:t>市容秩序</w:t>
            </w:r>
            <w:r>
              <w:rPr>
                <w:rFonts w:hint="eastAsia" w:ascii="仿宋_GB2312" w:hAnsi="仿宋_GB2312" w:eastAsia="仿宋_GB2312" w:cs="仿宋_GB2312"/>
                <w:kern w:val="0"/>
                <w:sz w:val="20"/>
                <w:szCs w:val="20"/>
                <w:lang w:val="en-US" w:eastAsia="zh-CN" w:bidi="ar-SA"/>
              </w:rPr>
              <w:t>方面的</w:t>
            </w:r>
            <w:r>
              <w:rPr>
                <w:rFonts w:hint="eastAsia" w:ascii="仿宋_GB2312" w:hAnsi="仿宋_GB2312" w:eastAsia="仿宋_GB2312" w:cs="仿宋_GB2312"/>
                <w:color w:val="000000"/>
                <w:kern w:val="0"/>
                <w:sz w:val="20"/>
                <w:szCs w:val="20"/>
                <w:highlight w:val="none"/>
                <w:lang w:val="en-US" w:eastAsia="zh-CN" w:bidi="ar-SA"/>
              </w:rPr>
              <w:t>常态化管理，为我市打造名副其实的省域副中心城市创造了良好的市容管理秩序</w:t>
            </w:r>
            <w:r>
              <w:rPr>
                <w:rFonts w:hint="eastAsia" w:ascii="仿宋_GB2312" w:hAnsi="仿宋_GB2312" w:eastAsia="仿宋_GB2312" w:cs="仿宋_GB2312"/>
                <w:kern w:val="0"/>
                <w:sz w:val="20"/>
                <w:szCs w:val="20"/>
                <w:lang w:val="en-US" w:eastAsia="zh-CN" w:bidi="ar-SA"/>
              </w:rPr>
              <w:t>；</w:t>
            </w:r>
          </w:p>
          <w:p w14:paraId="2CE65D93">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400" w:firstLineChars="200"/>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kern w:val="0"/>
                <w:sz w:val="20"/>
                <w:szCs w:val="20"/>
                <w:lang w:val="en-US" w:eastAsia="zh-CN" w:bidi="ar-SA"/>
              </w:rPr>
              <w:t>5、</w:t>
            </w:r>
            <w:r>
              <w:rPr>
                <w:rFonts w:hint="eastAsia" w:ascii="仿宋_GB2312" w:hAnsi="仿宋_GB2312" w:eastAsia="仿宋_GB2312" w:cs="仿宋_GB2312"/>
                <w:color w:val="000000"/>
                <w:kern w:val="0"/>
                <w:sz w:val="20"/>
                <w:szCs w:val="20"/>
                <w:highlight w:val="none"/>
                <w:lang w:val="en-US" w:eastAsia="zh-CN" w:bidi="ar-SA"/>
              </w:rPr>
              <w:t>如期高质量圆满完成了</w:t>
            </w:r>
            <w:r>
              <w:rPr>
                <w:rFonts w:hint="eastAsia" w:ascii="仿宋_GB2312" w:hAnsi="仿宋_GB2312" w:eastAsia="仿宋_GB2312" w:cs="仿宋_GB2312"/>
                <w:color w:val="000000"/>
                <w:kern w:val="0"/>
                <w:sz w:val="20"/>
                <w:szCs w:val="20"/>
                <w:lang w:val="en-US" w:eastAsia="zh-CN" w:bidi="ar-SA"/>
              </w:rPr>
              <w:t>年度各项工作</w:t>
            </w:r>
            <w:r>
              <w:rPr>
                <w:rFonts w:hint="eastAsia" w:ascii="仿宋_GB2312" w:hAnsi="仿宋_GB2312" w:eastAsia="仿宋_GB2312" w:cs="仿宋_GB2312"/>
                <w:color w:val="000000"/>
                <w:kern w:val="0"/>
                <w:sz w:val="20"/>
                <w:szCs w:val="20"/>
                <w:highlight w:val="none"/>
                <w:lang w:val="en-US" w:eastAsia="zh-CN" w:bidi="ar-SA"/>
              </w:rPr>
              <w:t>任务。</w:t>
            </w:r>
          </w:p>
        </w:tc>
      </w:tr>
      <w:tr w14:paraId="0786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restart"/>
            <w:noWrap w:val="0"/>
            <w:vAlign w:val="center"/>
          </w:tcPr>
          <w:p w14:paraId="361344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14:paraId="487478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14:paraId="315E18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14:paraId="7393CF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14:paraId="0204BE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062" w:type="dxa"/>
            <w:noWrap w:val="0"/>
            <w:vAlign w:val="center"/>
          </w:tcPr>
          <w:p w14:paraId="25A5A2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10" w:type="dxa"/>
            <w:noWrap w:val="0"/>
            <w:vAlign w:val="center"/>
          </w:tcPr>
          <w:p w14:paraId="106E2E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346" w:type="dxa"/>
            <w:noWrap w:val="0"/>
            <w:vAlign w:val="center"/>
          </w:tcPr>
          <w:p w14:paraId="2DA76D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290" w:type="dxa"/>
            <w:noWrap w:val="0"/>
            <w:vAlign w:val="center"/>
          </w:tcPr>
          <w:p w14:paraId="1EBB55C6">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75" w:type="dxa"/>
            <w:noWrap w:val="0"/>
            <w:vAlign w:val="center"/>
          </w:tcPr>
          <w:p w14:paraId="12C8E681">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80" w:type="dxa"/>
            <w:noWrap w:val="0"/>
            <w:vAlign w:val="center"/>
          </w:tcPr>
          <w:p w14:paraId="0D01C4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25" w:type="dxa"/>
            <w:noWrap w:val="0"/>
            <w:vAlign w:val="center"/>
          </w:tcPr>
          <w:p w14:paraId="25B5A3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31" w:type="dxa"/>
            <w:noWrap w:val="0"/>
            <w:vAlign w:val="center"/>
          </w:tcPr>
          <w:p w14:paraId="2AAE792C">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14:paraId="49FC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47FC682E">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restart"/>
            <w:noWrap w:val="0"/>
            <w:vAlign w:val="center"/>
          </w:tcPr>
          <w:p w14:paraId="6FF39E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14:paraId="13E4F7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p w14:paraId="0CCB37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10" w:type="dxa"/>
            <w:vMerge w:val="restart"/>
            <w:noWrap w:val="0"/>
            <w:vAlign w:val="center"/>
          </w:tcPr>
          <w:p w14:paraId="347F73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346" w:type="dxa"/>
            <w:noWrap w:val="0"/>
            <w:vAlign w:val="center"/>
          </w:tcPr>
          <w:p w14:paraId="0B8E41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案件办结</w:t>
            </w:r>
            <w:r>
              <w:rPr>
                <w:rFonts w:hint="eastAsia" w:ascii="仿宋_GB2312" w:hAnsi="仿宋_GB2312" w:eastAsia="仿宋_GB2312" w:cs="仿宋_GB2312"/>
                <w:color w:val="000000"/>
                <w:sz w:val="20"/>
                <w:szCs w:val="20"/>
                <w:highlight w:val="none"/>
                <w:lang w:val="en-US" w:eastAsia="zh-CN"/>
              </w:rPr>
              <w:t>数量</w:t>
            </w:r>
          </w:p>
        </w:tc>
        <w:tc>
          <w:tcPr>
            <w:tcW w:w="1290" w:type="dxa"/>
            <w:noWrap w:val="0"/>
            <w:vAlign w:val="center"/>
          </w:tcPr>
          <w:p w14:paraId="31B203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达</w:t>
            </w: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0起</w:t>
            </w:r>
          </w:p>
        </w:tc>
        <w:tc>
          <w:tcPr>
            <w:tcW w:w="1275" w:type="dxa"/>
            <w:noWrap w:val="0"/>
            <w:vAlign w:val="center"/>
          </w:tcPr>
          <w:p w14:paraId="4E8FE0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　</w:t>
            </w:r>
            <w:r>
              <w:rPr>
                <w:rFonts w:hint="eastAsia" w:ascii="仿宋_GB2312" w:hAnsi="仿宋_GB2312" w:eastAsia="仿宋_GB2312" w:cs="仿宋_GB2312"/>
                <w:color w:val="auto"/>
                <w:sz w:val="20"/>
                <w:szCs w:val="20"/>
                <w:highlight w:val="none"/>
                <w:lang w:val="en-US" w:eastAsia="zh-CN"/>
              </w:rPr>
              <w:t>1081起</w:t>
            </w:r>
          </w:p>
        </w:tc>
        <w:tc>
          <w:tcPr>
            <w:tcW w:w="780" w:type="dxa"/>
            <w:noWrap w:val="0"/>
            <w:vAlign w:val="center"/>
          </w:tcPr>
          <w:p w14:paraId="65C7DA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25" w:type="dxa"/>
            <w:noWrap w:val="0"/>
            <w:vAlign w:val="center"/>
          </w:tcPr>
          <w:p w14:paraId="562E58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1" w:type="dxa"/>
            <w:noWrap w:val="0"/>
            <w:vAlign w:val="center"/>
          </w:tcPr>
          <w:p w14:paraId="15E2D8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p w14:paraId="036ED6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p w14:paraId="7D704B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r>
      <w:tr w14:paraId="133B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60" w:type="dxa"/>
            <w:vMerge w:val="continue"/>
            <w:noWrap w:val="0"/>
            <w:vAlign w:val="center"/>
          </w:tcPr>
          <w:p w14:paraId="717709DD">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1C651F3C">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0D4A058C">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335EE1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rPr>
              <w:t>日常巡查</w:t>
            </w:r>
          </w:p>
        </w:tc>
        <w:tc>
          <w:tcPr>
            <w:tcW w:w="1290" w:type="dxa"/>
            <w:noWrap w:val="0"/>
            <w:vAlign w:val="center"/>
          </w:tcPr>
          <w:p w14:paraId="711C4B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lang w:eastAsia="zh-CN"/>
              </w:rPr>
              <w:t>600</w:t>
            </w:r>
            <w:r>
              <w:rPr>
                <w:rFonts w:hint="eastAsia" w:ascii="仿宋_GB2312" w:hAnsi="仿宋_GB2312" w:eastAsia="仿宋_GB2312" w:cs="仿宋_GB2312"/>
                <w:color w:val="auto"/>
                <w:sz w:val="20"/>
                <w:szCs w:val="20"/>
                <w:lang w:val="en-US" w:eastAsia="zh-CN"/>
              </w:rPr>
              <w:t>次</w:t>
            </w:r>
          </w:p>
        </w:tc>
        <w:tc>
          <w:tcPr>
            <w:tcW w:w="1275" w:type="dxa"/>
            <w:noWrap w:val="0"/>
            <w:vAlign w:val="center"/>
          </w:tcPr>
          <w:p w14:paraId="592495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达720余次</w:t>
            </w:r>
          </w:p>
        </w:tc>
        <w:tc>
          <w:tcPr>
            <w:tcW w:w="780" w:type="dxa"/>
            <w:noWrap w:val="0"/>
            <w:vAlign w:val="center"/>
          </w:tcPr>
          <w:p w14:paraId="434500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25" w:type="dxa"/>
            <w:noWrap w:val="0"/>
            <w:vAlign w:val="center"/>
          </w:tcPr>
          <w:p w14:paraId="6E840C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1" w:type="dxa"/>
            <w:noWrap w:val="0"/>
            <w:vAlign w:val="center"/>
          </w:tcPr>
          <w:p w14:paraId="2DE67A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555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564D7D99">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4E1C2751">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69A1A1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0713DD7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法律法规、作风纪律、文明执法培训等</w:t>
            </w:r>
          </w:p>
        </w:tc>
        <w:tc>
          <w:tcPr>
            <w:tcW w:w="1290" w:type="dxa"/>
            <w:noWrap w:val="0"/>
            <w:vAlign w:val="center"/>
          </w:tcPr>
          <w:p w14:paraId="1AD561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lang w:val="en-US" w:eastAsia="zh-CN"/>
              </w:rPr>
              <w:t>≥2次/年</w:t>
            </w:r>
          </w:p>
        </w:tc>
        <w:tc>
          <w:tcPr>
            <w:tcW w:w="1275" w:type="dxa"/>
            <w:noWrap w:val="0"/>
            <w:vAlign w:val="center"/>
          </w:tcPr>
          <w:p w14:paraId="77FE32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8次</w:t>
            </w:r>
          </w:p>
        </w:tc>
        <w:tc>
          <w:tcPr>
            <w:tcW w:w="780" w:type="dxa"/>
            <w:noWrap w:val="0"/>
            <w:vAlign w:val="center"/>
          </w:tcPr>
          <w:p w14:paraId="164821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25" w:type="dxa"/>
            <w:noWrap w:val="0"/>
            <w:vAlign w:val="center"/>
          </w:tcPr>
          <w:p w14:paraId="6A98CD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1" w:type="dxa"/>
            <w:noWrap w:val="0"/>
            <w:vAlign w:val="center"/>
          </w:tcPr>
          <w:p w14:paraId="3EAB13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2F5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69AE3083">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2DA6B0E0">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restart"/>
            <w:noWrap w:val="0"/>
            <w:vAlign w:val="center"/>
          </w:tcPr>
          <w:p w14:paraId="0C5413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346" w:type="dxa"/>
            <w:noWrap w:val="0"/>
            <w:vAlign w:val="center"/>
          </w:tcPr>
          <w:p w14:paraId="75E4B038">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行政执法程序合法、依据合理，以事实为依据，以法律为准绳。</w:t>
            </w:r>
          </w:p>
        </w:tc>
        <w:tc>
          <w:tcPr>
            <w:tcW w:w="1290" w:type="dxa"/>
            <w:noWrap w:val="0"/>
            <w:vAlign w:val="center"/>
          </w:tcPr>
          <w:p w14:paraId="75B94D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行政执法合理、合法、合规率≥95</w:t>
            </w:r>
            <w:r>
              <w:rPr>
                <w:rFonts w:hint="eastAsia" w:ascii="仿宋_GB2312" w:hAnsi="仿宋_GB2312" w:eastAsia="仿宋_GB2312" w:cs="仿宋_GB2312"/>
                <w:color w:val="000000"/>
                <w:sz w:val="20"/>
                <w:szCs w:val="20"/>
                <w:highlight w:val="none"/>
                <w:lang w:val="en-US" w:eastAsia="zh-CN"/>
              </w:rPr>
              <w:t>%</w:t>
            </w:r>
          </w:p>
        </w:tc>
        <w:tc>
          <w:tcPr>
            <w:tcW w:w="1275" w:type="dxa"/>
            <w:noWrap w:val="0"/>
            <w:vAlign w:val="center"/>
          </w:tcPr>
          <w:p w14:paraId="771976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宋体" w:hAnsi="宋体" w:eastAsia="宋体" w:cs="宋体"/>
                <w:color w:val="000000"/>
                <w:sz w:val="20"/>
                <w:szCs w:val="20"/>
                <w:lang w:val="en-US" w:eastAsia="zh-CN"/>
              </w:rPr>
              <w:t>≧</w:t>
            </w:r>
            <w:r>
              <w:rPr>
                <w:rFonts w:hint="default" w:ascii="仿宋_GB2312" w:hAnsi="仿宋_GB2312" w:eastAsia="仿宋_GB2312" w:cs="仿宋_GB2312"/>
                <w:color w:val="000000"/>
                <w:sz w:val="20"/>
                <w:szCs w:val="20"/>
                <w:lang w:val="en-US" w:eastAsia="zh-CN"/>
              </w:rPr>
              <w:t>9</w:t>
            </w:r>
            <w:r>
              <w:rPr>
                <w:rFonts w:hint="eastAsia" w:ascii="仿宋_GB2312" w:hAnsi="仿宋_GB2312" w:eastAsia="仿宋_GB2312" w:cs="仿宋_GB2312"/>
                <w:color w:val="000000"/>
                <w:sz w:val="20"/>
                <w:szCs w:val="20"/>
                <w:lang w:val="en-US" w:eastAsia="zh-CN"/>
              </w:rPr>
              <w:t>9.5%</w:t>
            </w:r>
          </w:p>
        </w:tc>
        <w:tc>
          <w:tcPr>
            <w:tcW w:w="780" w:type="dxa"/>
            <w:noWrap w:val="0"/>
            <w:vAlign w:val="center"/>
          </w:tcPr>
          <w:p w14:paraId="43F010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25" w:type="dxa"/>
            <w:noWrap w:val="0"/>
            <w:vAlign w:val="center"/>
          </w:tcPr>
          <w:p w14:paraId="37AB7C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1" w:type="dxa"/>
            <w:noWrap w:val="0"/>
            <w:vAlign w:val="center"/>
          </w:tcPr>
          <w:p w14:paraId="4819E6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8F7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2A3410C7">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6F3553F1">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115EA18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0EDA2D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文明执法</w:t>
            </w:r>
          </w:p>
        </w:tc>
        <w:tc>
          <w:tcPr>
            <w:tcW w:w="1290" w:type="dxa"/>
            <w:noWrap w:val="0"/>
            <w:vAlign w:val="center"/>
          </w:tcPr>
          <w:p w14:paraId="700F40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文明执法，无违规投诉案件</w:t>
            </w:r>
          </w:p>
        </w:tc>
        <w:tc>
          <w:tcPr>
            <w:tcW w:w="1275" w:type="dxa"/>
            <w:noWrap w:val="0"/>
            <w:vAlign w:val="center"/>
          </w:tcPr>
          <w:p w14:paraId="4EE0FFC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全年无违规投诉</w:t>
            </w:r>
          </w:p>
        </w:tc>
        <w:tc>
          <w:tcPr>
            <w:tcW w:w="780" w:type="dxa"/>
            <w:noWrap w:val="0"/>
            <w:vAlign w:val="center"/>
          </w:tcPr>
          <w:p w14:paraId="067066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25" w:type="dxa"/>
            <w:noWrap w:val="0"/>
            <w:vAlign w:val="center"/>
          </w:tcPr>
          <w:p w14:paraId="1D936A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1" w:type="dxa"/>
            <w:noWrap w:val="0"/>
            <w:vAlign w:val="center"/>
          </w:tcPr>
          <w:p w14:paraId="42F10C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97A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53E2ED92">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2807C2D0">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5E1EF4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4E1DDC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按上级文件执行</w:t>
            </w:r>
          </w:p>
        </w:tc>
        <w:tc>
          <w:tcPr>
            <w:tcW w:w="1290" w:type="dxa"/>
            <w:noWrap w:val="0"/>
            <w:vAlign w:val="center"/>
          </w:tcPr>
          <w:p w14:paraId="5069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按上级文件执行</w:t>
            </w:r>
          </w:p>
        </w:tc>
        <w:tc>
          <w:tcPr>
            <w:tcW w:w="1275" w:type="dxa"/>
            <w:noWrap w:val="0"/>
            <w:vAlign w:val="center"/>
          </w:tcPr>
          <w:p w14:paraId="6EECBB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100%</w:t>
            </w:r>
          </w:p>
        </w:tc>
        <w:tc>
          <w:tcPr>
            <w:tcW w:w="780" w:type="dxa"/>
            <w:noWrap w:val="0"/>
            <w:vAlign w:val="center"/>
          </w:tcPr>
          <w:p w14:paraId="248988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25" w:type="dxa"/>
            <w:noWrap w:val="0"/>
            <w:vAlign w:val="center"/>
          </w:tcPr>
          <w:p w14:paraId="3894C2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1" w:type="dxa"/>
            <w:noWrap w:val="0"/>
            <w:vAlign w:val="center"/>
          </w:tcPr>
          <w:p w14:paraId="6681C7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303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7F12CA70">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3256A059">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restart"/>
            <w:noWrap w:val="0"/>
            <w:vAlign w:val="center"/>
          </w:tcPr>
          <w:p w14:paraId="539359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346" w:type="dxa"/>
            <w:noWrap w:val="0"/>
            <w:vAlign w:val="center"/>
          </w:tcPr>
          <w:p w14:paraId="20A7F8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按照计划和进度完成全年工作</w:t>
            </w:r>
          </w:p>
        </w:tc>
        <w:tc>
          <w:tcPr>
            <w:tcW w:w="1290" w:type="dxa"/>
            <w:noWrap w:val="0"/>
            <w:vAlign w:val="center"/>
          </w:tcPr>
          <w:p w14:paraId="4E08E7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按时完成率达100%</w:t>
            </w:r>
          </w:p>
        </w:tc>
        <w:tc>
          <w:tcPr>
            <w:tcW w:w="1275" w:type="dxa"/>
            <w:noWrap w:val="0"/>
            <w:vAlign w:val="center"/>
          </w:tcPr>
          <w:p w14:paraId="46AE44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100%</w:t>
            </w:r>
          </w:p>
        </w:tc>
        <w:tc>
          <w:tcPr>
            <w:tcW w:w="780" w:type="dxa"/>
            <w:noWrap w:val="0"/>
            <w:vAlign w:val="center"/>
          </w:tcPr>
          <w:p w14:paraId="087A0B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25" w:type="dxa"/>
            <w:noWrap w:val="0"/>
            <w:vAlign w:val="center"/>
          </w:tcPr>
          <w:p w14:paraId="7D1DC0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1" w:type="dxa"/>
            <w:noWrap w:val="0"/>
            <w:vAlign w:val="center"/>
          </w:tcPr>
          <w:p w14:paraId="1051BB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C30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457C36FA">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79962C15">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52651164">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7053D7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投诉案件处置时效</w:t>
            </w:r>
          </w:p>
        </w:tc>
        <w:tc>
          <w:tcPr>
            <w:tcW w:w="1290" w:type="dxa"/>
            <w:noWrap w:val="0"/>
            <w:vAlign w:val="center"/>
          </w:tcPr>
          <w:p w14:paraId="364517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市民投诉处置及时</w:t>
            </w:r>
          </w:p>
        </w:tc>
        <w:tc>
          <w:tcPr>
            <w:tcW w:w="1275" w:type="dxa"/>
            <w:noWrap w:val="0"/>
            <w:vAlign w:val="center"/>
          </w:tcPr>
          <w:p w14:paraId="363142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lang w:val="en-US" w:eastAsia="zh-CN"/>
              </w:rPr>
              <w:t>市民投诉均在规定时限内办结</w:t>
            </w:r>
          </w:p>
        </w:tc>
        <w:tc>
          <w:tcPr>
            <w:tcW w:w="780" w:type="dxa"/>
            <w:noWrap w:val="0"/>
            <w:vAlign w:val="center"/>
          </w:tcPr>
          <w:p w14:paraId="67E4F2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825" w:type="dxa"/>
            <w:noWrap w:val="0"/>
            <w:vAlign w:val="center"/>
          </w:tcPr>
          <w:p w14:paraId="57F227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5</w:t>
            </w:r>
          </w:p>
        </w:tc>
        <w:tc>
          <w:tcPr>
            <w:tcW w:w="1431" w:type="dxa"/>
            <w:noWrap w:val="0"/>
            <w:vAlign w:val="center"/>
          </w:tcPr>
          <w:p w14:paraId="7D0C7C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C09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227A7F91">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10AD0DB7">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restart"/>
            <w:noWrap w:val="0"/>
            <w:vAlign w:val="center"/>
          </w:tcPr>
          <w:p w14:paraId="77EAA2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346" w:type="dxa"/>
            <w:noWrap w:val="0"/>
            <w:vAlign w:val="center"/>
          </w:tcPr>
          <w:p w14:paraId="30AAAB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单位履职成本</w:t>
            </w:r>
          </w:p>
        </w:tc>
        <w:tc>
          <w:tcPr>
            <w:tcW w:w="1290" w:type="dxa"/>
            <w:noWrap w:val="0"/>
            <w:vAlign w:val="center"/>
          </w:tcPr>
          <w:p w14:paraId="7DE297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控制在预算金额</w:t>
            </w:r>
            <w:r>
              <w:rPr>
                <w:rFonts w:hint="eastAsia" w:ascii="仿宋_GB2312" w:hAnsi="仿宋_GB2312" w:eastAsia="仿宋_GB2312" w:cs="仿宋_GB2312"/>
                <w:sz w:val="20"/>
                <w:szCs w:val="20"/>
                <w:highlight w:val="none"/>
                <w:lang w:val="en-US" w:eastAsia="zh-CN"/>
              </w:rPr>
              <w:t>8228.17万元内</w:t>
            </w:r>
          </w:p>
        </w:tc>
        <w:tc>
          <w:tcPr>
            <w:tcW w:w="1275" w:type="dxa"/>
            <w:noWrap w:val="0"/>
            <w:vAlign w:val="center"/>
          </w:tcPr>
          <w:p w14:paraId="014076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highlight w:val="none"/>
                <w:lang w:val="en-US" w:eastAsia="zh-CN"/>
              </w:rPr>
              <w:t>实际支出7934.65万元</w:t>
            </w:r>
            <w:r>
              <w:rPr>
                <w:rFonts w:hint="eastAsia" w:ascii="仿宋_GB2312" w:hAnsi="仿宋_GB2312" w:eastAsia="仿宋_GB2312" w:cs="仿宋_GB2312"/>
                <w:color w:val="000000"/>
                <w:sz w:val="20"/>
                <w:szCs w:val="20"/>
                <w:highlight w:val="none"/>
              </w:rPr>
              <w:t>　</w:t>
            </w:r>
          </w:p>
        </w:tc>
        <w:tc>
          <w:tcPr>
            <w:tcW w:w="780" w:type="dxa"/>
            <w:noWrap w:val="0"/>
            <w:vAlign w:val="center"/>
          </w:tcPr>
          <w:p w14:paraId="10DA8B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825" w:type="dxa"/>
            <w:noWrap w:val="0"/>
            <w:vAlign w:val="center"/>
          </w:tcPr>
          <w:p w14:paraId="363E77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6</w:t>
            </w:r>
          </w:p>
        </w:tc>
        <w:tc>
          <w:tcPr>
            <w:tcW w:w="1431" w:type="dxa"/>
            <w:noWrap w:val="0"/>
            <w:vAlign w:val="center"/>
          </w:tcPr>
          <w:p w14:paraId="28320F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40E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56D8BD53">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1ED97092">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0402F575">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3D5ECD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iCs w:val="0"/>
                <w:color w:val="000000"/>
                <w:kern w:val="0"/>
                <w:sz w:val="20"/>
                <w:szCs w:val="20"/>
                <w:u w:val="none"/>
                <w:lang w:val="en-US" w:eastAsia="zh-CN" w:bidi="ar"/>
              </w:rPr>
              <w:t>对社会发展造成负面影响</w:t>
            </w:r>
          </w:p>
        </w:tc>
        <w:tc>
          <w:tcPr>
            <w:tcW w:w="1290" w:type="dxa"/>
            <w:noWrap w:val="0"/>
            <w:vAlign w:val="center"/>
          </w:tcPr>
          <w:p w14:paraId="4B3901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1275" w:type="dxa"/>
            <w:noWrap w:val="0"/>
            <w:vAlign w:val="center"/>
          </w:tcPr>
          <w:p w14:paraId="75477C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780" w:type="dxa"/>
            <w:noWrap w:val="0"/>
            <w:vAlign w:val="center"/>
          </w:tcPr>
          <w:p w14:paraId="0A684A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25" w:type="dxa"/>
            <w:noWrap w:val="0"/>
            <w:vAlign w:val="center"/>
          </w:tcPr>
          <w:p w14:paraId="63F996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31" w:type="dxa"/>
            <w:noWrap w:val="0"/>
            <w:vAlign w:val="center"/>
          </w:tcPr>
          <w:p w14:paraId="24D277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A75D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33DD6370">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5D229E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6A8947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085D4A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iCs w:val="0"/>
                <w:color w:val="000000"/>
                <w:kern w:val="0"/>
                <w:sz w:val="20"/>
                <w:szCs w:val="20"/>
                <w:u w:val="none"/>
                <w:lang w:val="en-US" w:eastAsia="zh-CN" w:bidi="ar"/>
              </w:rPr>
              <w:t>对生态环境造成负面影响</w:t>
            </w:r>
          </w:p>
        </w:tc>
        <w:tc>
          <w:tcPr>
            <w:tcW w:w="1290" w:type="dxa"/>
            <w:noWrap w:val="0"/>
            <w:vAlign w:val="center"/>
          </w:tcPr>
          <w:p w14:paraId="32F403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1275" w:type="dxa"/>
            <w:noWrap w:val="0"/>
            <w:vAlign w:val="center"/>
          </w:tcPr>
          <w:p w14:paraId="018476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780" w:type="dxa"/>
            <w:noWrap w:val="0"/>
            <w:vAlign w:val="center"/>
          </w:tcPr>
          <w:p w14:paraId="4D2408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825" w:type="dxa"/>
            <w:noWrap w:val="0"/>
            <w:vAlign w:val="center"/>
          </w:tcPr>
          <w:p w14:paraId="423079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2</w:t>
            </w:r>
          </w:p>
        </w:tc>
        <w:tc>
          <w:tcPr>
            <w:tcW w:w="1431" w:type="dxa"/>
            <w:noWrap w:val="0"/>
            <w:vAlign w:val="center"/>
          </w:tcPr>
          <w:p w14:paraId="7FD45F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DE3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7A057AA0">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restart"/>
            <w:noWrap w:val="0"/>
            <w:vAlign w:val="center"/>
          </w:tcPr>
          <w:p w14:paraId="054C30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14:paraId="4E303C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p w14:paraId="539D54C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14:paraId="37FE33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10" w:type="dxa"/>
            <w:vMerge w:val="restart"/>
            <w:noWrap w:val="0"/>
            <w:vAlign w:val="center"/>
          </w:tcPr>
          <w:p w14:paraId="632A6D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14:paraId="275714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46" w:type="dxa"/>
            <w:noWrap w:val="0"/>
            <w:vAlign w:val="center"/>
          </w:tcPr>
          <w:p w14:paraId="7A4FFCCB">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完成非税收入征收计划</w:t>
            </w:r>
          </w:p>
        </w:tc>
        <w:tc>
          <w:tcPr>
            <w:tcW w:w="1290" w:type="dxa"/>
            <w:noWrap w:val="0"/>
            <w:vAlign w:val="center"/>
          </w:tcPr>
          <w:p w14:paraId="3587A7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rPr>
              <w:t>1</w:t>
            </w:r>
            <w:r>
              <w:rPr>
                <w:rFonts w:hint="eastAsia" w:ascii="仿宋_GB2312" w:hAnsi="仿宋_GB2312" w:eastAsia="仿宋_GB2312" w:cs="仿宋_GB2312"/>
                <w:color w:val="auto"/>
                <w:sz w:val="20"/>
                <w:szCs w:val="20"/>
                <w:highlight w:val="none"/>
                <w:lang w:val="en-US" w:eastAsia="zh-CN"/>
              </w:rPr>
              <w:t>2</w:t>
            </w:r>
            <w:r>
              <w:rPr>
                <w:rFonts w:hint="eastAsia" w:ascii="仿宋_GB2312" w:hAnsi="仿宋_GB2312" w:eastAsia="仿宋_GB2312" w:cs="仿宋_GB2312"/>
                <w:color w:val="auto"/>
                <w:sz w:val="20"/>
                <w:szCs w:val="20"/>
                <w:highlight w:val="none"/>
              </w:rPr>
              <w:t>0</w:t>
            </w:r>
            <w:r>
              <w:rPr>
                <w:rFonts w:hint="eastAsia" w:ascii="仿宋_GB2312" w:hAnsi="仿宋_GB2312" w:eastAsia="仿宋_GB2312" w:cs="仿宋_GB2312"/>
                <w:color w:val="auto"/>
                <w:sz w:val="20"/>
                <w:szCs w:val="20"/>
                <w:highlight w:val="none"/>
                <w:lang w:val="en-US" w:eastAsia="zh-CN"/>
              </w:rPr>
              <w:t>万元</w:t>
            </w:r>
          </w:p>
        </w:tc>
        <w:tc>
          <w:tcPr>
            <w:tcW w:w="1275" w:type="dxa"/>
            <w:noWrap w:val="0"/>
            <w:vAlign w:val="center"/>
          </w:tcPr>
          <w:p w14:paraId="2AAFAE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154.29万元</w:t>
            </w:r>
          </w:p>
        </w:tc>
        <w:tc>
          <w:tcPr>
            <w:tcW w:w="780" w:type="dxa"/>
            <w:noWrap w:val="0"/>
            <w:vAlign w:val="center"/>
          </w:tcPr>
          <w:p w14:paraId="1A1B9F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825" w:type="dxa"/>
            <w:noWrap w:val="0"/>
            <w:vAlign w:val="center"/>
          </w:tcPr>
          <w:p w14:paraId="261D2A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31" w:type="dxa"/>
            <w:noWrap w:val="0"/>
            <w:vAlign w:val="center"/>
          </w:tcPr>
          <w:p w14:paraId="245342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1C5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32D2442E">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725E3D3B">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3341BC0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17429940">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产生一定的间接经济效益</w:t>
            </w:r>
          </w:p>
        </w:tc>
        <w:tc>
          <w:tcPr>
            <w:tcW w:w="1290" w:type="dxa"/>
            <w:noWrap w:val="0"/>
            <w:vAlign w:val="center"/>
          </w:tcPr>
          <w:p w14:paraId="783A3B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确保市容秩序</w:t>
            </w:r>
            <w:r>
              <w:rPr>
                <w:rFonts w:hint="eastAsia" w:ascii="仿宋_GB2312" w:hAnsi="仿宋_GB2312" w:eastAsia="仿宋_GB2312" w:cs="仿宋_GB2312"/>
                <w:color w:val="000000"/>
                <w:sz w:val="20"/>
                <w:szCs w:val="20"/>
                <w:highlight w:val="none"/>
                <w:lang w:eastAsia="zh-CN"/>
              </w:rPr>
              <w:t>良好</w:t>
            </w: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eastAsia="zh-CN"/>
              </w:rPr>
              <w:t>助力旅游业发展</w:t>
            </w:r>
          </w:p>
        </w:tc>
        <w:tc>
          <w:tcPr>
            <w:tcW w:w="1275" w:type="dxa"/>
            <w:noWrap w:val="0"/>
            <w:vAlign w:val="center"/>
          </w:tcPr>
          <w:p w14:paraId="5B274F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 xml:space="preserve">有效助力 </w:t>
            </w:r>
          </w:p>
        </w:tc>
        <w:tc>
          <w:tcPr>
            <w:tcW w:w="780" w:type="dxa"/>
            <w:noWrap w:val="0"/>
            <w:vAlign w:val="center"/>
          </w:tcPr>
          <w:p w14:paraId="2F51276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825" w:type="dxa"/>
            <w:noWrap w:val="0"/>
            <w:vAlign w:val="center"/>
          </w:tcPr>
          <w:p w14:paraId="5BB5ED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31" w:type="dxa"/>
            <w:noWrap w:val="0"/>
            <w:vAlign w:val="center"/>
          </w:tcPr>
          <w:p w14:paraId="2DC992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88F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31EE3B27">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477425E9">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restart"/>
            <w:noWrap w:val="0"/>
            <w:vAlign w:val="center"/>
          </w:tcPr>
          <w:p w14:paraId="6D99E1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14:paraId="250ACF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46" w:type="dxa"/>
            <w:noWrap w:val="0"/>
            <w:vAlign w:val="center"/>
          </w:tcPr>
          <w:p w14:paraId="60D57B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提升执法形象</w:t>
            </w:r>
          </w:p>
        </w:tc>
        <w:tc>
          <w:tcPr>
            <w:tcW w:w="1290" w:type="dxa"/>
            <w:noWrap w:val="0"/>
            <w:vAlign w:val="center"/>
          </w:tcPr>
          <w:p w14:paraId="769670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依法行政、文明执法，管理和服务相结合，提升执法形象。</w:t>
            </w:r>
          </w:p>
        </w:tc>
        <w:tc>
          <w:tcPr>
            <w:tcW w:w="1275" w:type="dxa"/>
            <w:noWrap w:val="0"/>
            <w:vAlign w:val="center"/>
          </w:tcPr>
          <w:p w14:paraId="5F82CB8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公众对</w:t>
            </w:r>
            <w:r>
              <w:rPr>
                <w:rFonts w:hint="eastAsia" w:ascii="仿宋_GB2312" w:hAnsi="仿宋_GB2312" w:eastAsia="仿宋_GB2312" w:cs="仿宋_GB2312"/>
                <w:color w:val="000000"/>
                <w:sz w:val="20"/>
                <w:szCs w:val="20"/>
                <w:highlight w:val="none"/>
              </w:rPr>
              <w:t>执法</w:t>
            </w:r>
            <w:r>
              <w:rPr>
                <w:rFonts w:hint="eastAsia" w:ascii="仿宋_GB2312" w:hAnsi="仿宋_GB2312" w:eastAsia="仿宋_GB2312" w:cs="仿宋_GB2312"/>
                <w:color w:val="000000"/>
                <w:sz w:val="20"/>
                <w:szCs w:val="20"/>
                <w:highlight w:val="none"/>
                <w:lang w:eastAsia="zh-CN"/>
              </w:rPr>
              <w:t>工作认可度显著提升</w:t>
            </w:r>
          </w:p>
        </w:tc>
        <w:tc>
          <w:tcPr>
            <w:tcW w:w="780" w:type="dxa"/>
            <w:noWrap w:val="0"/>
            <w:vAlign w:val="center"/>
          </w:tcPr>
          <w:p w14:paraId="7BCFA3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25" w:type="dxa"/>
            <w:noWrap w:val="0"/>
            <w:vAlign w:val="center"/>
          </w:tcPr>
          <w:p w14:paraId="415C29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31" w:type="dxa"/>
            <w:noWrap w:val="0"/>
            <w:vAlign w:val="center"/>
          </w:tcPr>
          <w:p w14:paraId="4BF1F5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3B4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vMerge w:val="continue"/>
            <w:noWrap w:val="0"/>
            <w:vAlign w:val="center"/>
          </w:tcPr>
          <w:p w14:paraId="33308028">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54776299">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79AE8F3B">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0A89E1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提升城市整体形象</w:t>
            </w:r>
          </w:p>
        </w:tc>
        <w:tc>
          <w:tcPr>
            <w:tcW w:w="1290" w:type="dxa"/>
            <w:noWrap w:val="0"/>
            <w:vAlign w:val="center"/>
          </w:tcPr>
          <w:p w14:paraId="3F1B92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加强市容秩序管理</w:t>
            </w:r>
            <w:r>
              <w:rPr>
                <w:rFonts w:hint="eastAsia" w:ascii="仿宋_GB2312" w:hAnsi="仿宋_GB2312" w:eastAsia="仿宋_GB2312" w:cs="仿宋_GB2312"/>
                <w:color w:val="000000"/>
                <w:sz w:val="20"/>
                <w:szCs w:val="20"/>
              </w:rPr>
              <w:t>，</w:t>
            </w:r>
            <w:r>
              <w:rPr>
                <w:rFonts w:hint="eastAsia" w:ascii="仿宋_GB2312" w:hAnsi="仿宋_GB2312" w:eastAsia="仿宋_GB2312" w:cs="仿宋_GB2312"/>
                <w:color w:val="000000"/>
                <w:sz w:val="20"/>
                <w:szCs w:val="20"/>
                <w:lang w:val="en-US" w:eastAsia="zh-CN"/>
              </w:rPr>
              <w:t>提升城市整体形象。</w:t>
            </w:r>
          </w:p>
        </w:tc>
        <w:tc>
          <w:tcPr>
            <w:tcW w:w="1275" w:type="dxa"/>
            <w:noWrap w:val="0"/>
            <w:vAlign w:val="center"/>
          </w:tcPr>
          <w:p w14:paraId="73D9E1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提升了城市整体形象，改善了市民居住环境。</w:t>
            </w:r>
          </w:p>
        </w:tc>
        <w:tc>
          <w:tcPr>
            <w:tcW w:w="780" w:type="dxa"/>
            <w:noWrap w:val="0"/>
            <w:vAlign w:val="center"/>
          </w:tcPr>
          <w:p w14:paraId="2990D1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25" w:type="dxa"/>
            <w:noWrap w:val="0"/>
            <w:vAlign w:val="center"/>
          </w:tcPr>
          <w:p w14:paraId="043794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31" w:type="dxa"/>
            <w:noWrap w:val="0"/>
            <w:vAlign w:val="center"/>
          </w:tcPr>
          <w:p w14:paraId="5C98E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F45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060" w:type="dxa"/>
            <w:vMerge w:val="continue"/>
            <w:noWrap w:val="0"/>
            <w:vAlign w:val="center"/>
          </w:tcPr>
          <w:p w14:paraId="6319FE85">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15050DFB">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noWrap w:val="0"/>
            <w:vAlign w:val="center"/>
          </w:tcPr>
          <w:p w14:paraId="5E182D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14:paraId="327658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346" w:type="dxa"/>
            <w:noWrap w:val="0"/>
            <w:vAlign w:val="center"/>
          </w:tcPr>
          <w:p w14:paraId="436991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城区扬尘治理</w:t>
            </w:r>
          </w:p>
        </w:tc>
        <w:tc>
          <w:tcPr>
            <w:tcW w:w="1290" w:type="dxa"/>
            <w:noWrap w:val="0"/>
            <w:vAlign w:val="center"/>
          </w:tcPr>
          <w:p w14:paraId="6BC60B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sz w:val="20"/>
                <w:szCs w:val="20"/>
                <w:lang w:eastAsia="zh-CN"/>
              </w:rPr>
              <w:t>加强基建场地污染源整治监管，</w:t>
            </w:r>
            <w:r>
              <w:rPr>
                <w:rFonts w:hint="eastAsia" w:ascii="仿宋_GB2312" w:hAnsi="仿宋_GB2312" w:eastAsia="仿宋_GB2312" w:cs="仿宋_GB2312"/>
                <w:sz w:val="20"/>
                <w:szCs w:val="20"/>
                <w:lang w:val="en-US" w:eastAsia="zh-CN"/>
              </w:rPr>
              <w:t>改善城市环境。</w:t>
            </w:r>
          </w:p>
        </w:tc>
        <w:tc>
          <w:tcPr>
            <w:tcW w:w="1275" w:type="dxa"/>
            <w:noWrap w:val="0"/>
            <w:vAlign w:val="center"/>
          </w:tcPr>
          <w:p w14:paraId="6F4BD0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sz w:val="20"/>
                <w:szCs w:val="20"/>
                <w:lang w:eastAsia="zh-CN"/>
              </w:rPr>
              <w:t>基建场</w:t>
            </w:r>
            <w:r>
              <w:rPr>
                <w:rFonts w:hint="eastAsia" w:ascii="仿宋_GB2312" w:hAnsi="仿宋_GB2312" w:eastAsia="仿宋_GB2312" w:cs="仿宋_GB2312"/>
                <w:sz w:val="20"/>
                <w:szCs w:val="20"/>
              </w:rPr>
              <w:t>污染源</w:t>
            </w:r>
            <w:r>
              <w:rPr>
                <w:rFonts w:hint="eastAsia" w:ascii="仿宋_GB2312" w:hAnsi="仿宋_GB2312" w:eastAsia="仿宋_GB2312" w:cs="仿宋_GB2312"/>
                <w:sz w:val="20"/>
                <w:szCs w:val="20"/>
                <w:lang w:eastAsia="zh-CN"/>
              </w:rPr>
              <w:t>得到有效</w:t>
            </w:r>
            <w:r>
              <w:rPr>
                <w:rFonts w:hint="eastAsia" w:ascii="仿宋_GB2312" w:hAnsi="仿宋_GB2312" w:eastAsia="仿宋_GB2312" w:cs="仿宋_GB2312"/>
                <w:sz w:val="20"/>
                <w:szCs w:val="20"/>
              </w:rPr>
              <w:t>管控</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减少了噪音和扬尘污染。</w:t>
            </w:r>
          </w:p>
        </w:tc>
        <w:tc>
          <w:tcPr>
            <w:tcW w:w="780" w:type="dxa"/>
            <w:noWrap w:val="0"/>
            <w:vAlign w:val="center"/>
          </w:tcPr>
          <w:p w14:paraId="2D9648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w:t>
            </w:r>
          </w:p>
        </w:tc>
        <w:tc>
          <w:tcPr>
            <w:tcW w:w="825" w:type="dxa"/>
            <w:noWrap w:val="0"/>
            <w:vAlign w:val="center"/>
          </w:tcPr>
          <w:p w14:paraId="6CB712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8</w:t>
            </w:r>
          </w:p>
        </w:tc>
        <w:tc>
          <w:tcPr>
            <w:tcW w:w="1431" w:type="dxa"/>
            <w:noWrap w:val="0"/>
            <w:vAlign w:val="center"/>
          </w:tcPr>
          <w:p w14:paraId="75A32B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kern w:val="0"/>
                <w:sz w:val="18"/>
                <w:szCs w:val="18"/>
                <w:highlight w:val="none"/>
                <w:lang w:val="en-US" w:eastAsia="zh-CN" w:bidi="ar-SA"/>
              </w:rPr>
            </w:pPr>
          </w:p>
        </w:tc>
      </w:tr>
      <w:tr w14:paraId="4127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060" w:type="dxa"/>
            <w:vMerge w:val="continue"/>
            <w:noWrap w:val="0"/>
            <w:vAlign w:val="center"/>
          </w:tcPr>
          <w:p w14:paraId="2126F5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774C2BB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restart"/>
            <w:noWrap w:val="0"/>
            <w:vAlign w:val="center"/>
          </w:tcPr>
          <w:p w14:paraId="16073D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346" w:type="dxa"/>
            <w:noWrap w:val="0"/>
            <w:vAlign w:val="center"/>
          </w:tcPr>
          <w:p w14:paraId="23F4C2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加强城市管理工作</w:t>
            </w:r>
          </w:p>
        </w:tc>
        <w:tc>
          <w:tcPr>
            <w:tcW w:w="1290" w:type="dxa"/>
            <w:noWrap w:val="0"/>
            <w:vAlign w:val="center"/>
          </w:tcPr>
          <w:p w14:paraId="6E56E7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对</w:t>
            </w:r>
            <w:r>
              <w:rPr>
                <w:rFonts w:hint="eastAsia" w:ascii="仿宋_GB2312" w:hAnsi="仿宋_GB2312" w:eastAsia="仿宋_GB2312" w:cs="仿宋_GB2312"/>
                <w:sz w:val="20"/>
                <w:szCs w:val="20"/>
                <w:lang w:eastAsia="zh-CN"/>
              </w:rPr>
              <w:t>市本级</w:t>
            </w:r>
            <w:r>
              <w:rPr>
                <w:rFonts w:hint="eastAsia" w:ascii="仿宋_GB2312" w:hAnsi="仿宋_GB2312" w:eastAsia="仿宋_GB2312" w:cs="仿宋_GB2312"/>
                <w:color w:val="000000"/>
                <w:sz w:val="20"/>
                <w:szCs w:val="20"/>
                <w:highlight w:val="none"/>
                <w:lang w:val="en-US" w:eastAsia="zh-CN"/>
              </w:rPr>
              <w:t>市容市貌进行</w:t>
            </w:r>
            <w:r>
              <w:rPr>
                <w:rFonts w:hint="eastAsia" w:ascii="仿宋_GB2312" w:hAnsi="仿宋_GB2312" w:eastAsia="仿宋_GB2312" w:cs="仿宋_GB2312"/>
                <w:color w:val="000000"/>
                <w:sz w:val="20"/>
                <w:szCs w:val="20"/>
                <w:highlight w:val="none"/>
              </w:rPr>
              <w:t>常态化</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长效化管理</w:t>
            </w:r>
          </w:p>
        </w:tc>
        <w:tc>
          <w:tcPr>
            <w:tcW w:w="1275" w:type="dxa"/>
            <w:noWrap w:val="0"/>
            <w:vAlign w:val="center"/>
          </w:tcPr>
          <w:p w14:paraId="0B047B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市容市貌的常态化管理取得了良好的效果</w:t>
            </w:r>
          </w:p>
        </w:tc>
        <w:tc>
          <w:tcPr>
            <w:tcW w:w="780" w:type="dxa"/>
            <w:noWrap w:val="0"/>
            <w:vAlign w:val="center"/>
          </w:tcPr>
          <w:p w14:paraId="552F80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25" w:type="dxa"/>
            <w:noWrap w:val="0"/>
            <w:vAlign w:val="center"/>
          </w:tcPr>
          <w:p w14:paraId="526C39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31" w:type="dxa"/>
            <w:noWrap w:val="0"/>
            <w:vAlign w:val="center"/>
          </w:tcPr>
          <w:p w14:paraId="65A6AA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sz w:val="18"/>
                <w:szCs w:val="18"/>
                <w:highlight w:val="none"/>
                <w:lang w:val="en-US" w:eastAsia="zh-CN"/>
              </w:rPr>
              <w:t>还有待进一步加强政策法规宣传，下一步加大宣传力度，提升市民知法守法的自觉意识。</w:t>
            </w:r>
          </w:p>
        </w:tc>
      </w:tr>
      <w:tr w14:paraId="1E0C4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60" w:type="dxa"/>
            <w:vMerge w:val="continue"/>
            <w:noWrap w:val="0"/>
            <w:vAlign w:val="center"/>
          </w:tcPr>
          <w:p w14:paraId="73ABFAFC">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vMerge w:val="continue"/>
            <w:noWrap w:val="0"/>
            <w:vAlign w:val="center"/>
          </w:tcPr>
          <w:p w14:paraId="4CCEDE7C">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10" w:type="dxa"/>
            <w:vMerge w:val="continue"/>
            <w:noWrap w:val="0"/>
            <w:vAlign w:val="center"/>
          </w:tcPr>
          <w:p w14:paraId="7B0B070A">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346" w:type="dxa"/>
            <w:noWrap w:val="0"/>
            <w:vAlign w:val="center"/>
          </w:tcPr>
          <w:p w14:paraId="15857C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打造整洁、秀美市容环境</w:t>
            </w:r>
          </w:p>
        </w:tc>
        <w:tc>
          <w:tcPr>
            <w:tcW w:w="1290" w:type="dxa"/>
            <w:noWrap w:val="0"/>
            <w:vAlign w:val="center"/>
          </w:tcPr>
          <w:p w14:paraId="60E999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城市规范化管理，提升城市整体形象。</w:t>
            </w:r>
          </w:p>
        </w:tc>
        <w:tc>
          <w:tcPr>
            <w:tcW w:w="1275" w:type="dxa"/>
            <w:noWrap w:val="0"/>
            <w:vAlign w:val="center"/>
          </w:tcPr>
          <w:p w14:paraId="7851F1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城市整体形象不断提升</w:t>
            </w:r>
          </w:p>
        </w:tc>
        <w:tc>
          <w:tcPr>
            <w:tcW w:w="780" w:type="dxa"/>
            <w:noWrap w:val="0"/>
            <w:vAlign w:val="center"/>
          </w:tcPr>
          <w:p w14:paraId="24FFE2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25" w:type="dxa"/>
            <w:noWrap w:val="0"/>
            <w:vAlign w:val="center"/>
          </w:tcPr>
          <w:p w14:paraId="579864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31" w:type="dxa"/>
            <w:noWrap w:val="0"/>
            <w:vAlign w:val="center"/>
          </w:tcPr>
          <w:p w14:paraId="21CDDC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18"/>
                <w:szCs w:val="18"/>
                <w:highlight w:val="none"/>
              </w:rPr>
            </w:pPr>
            <w:r>
              <w:rPr>
                <w:rFonts w:hint="eastAsia" w:ascii="仿宋_GB2312" w:hAnsi="仿宋_GB2312" w:eastAsia="仿宋_GB2312" w:cs="仿宋_GB2312"/>
                <w:color w:val="000000"/>
                <w:sz w:val="18"/>
                <w:szCs w:val="18"/>
                <w:highlight w:val="none"/>
                <w:lang w:val="en-US" w:eastAsia="zh-CN"/>
              </w:rPr>
              <w:t>部分路段应加强常态化管理，下一步加大巡查力度，进行常态化管理。</w:t>
            </w:r>
          </w:p>
        </w:tc>
      </w:tr>
      <w:tr w14:paraId="7E7F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060" w:type="dxa"/>
            <w:vMerge w:val="continue"/>
            <w:noWrap w:val="0"/>
            <w:vAlign w:val="center"/>
          </w:tcPr>
          <w:p w14:paraId="1E054B46">
            <w:pPr>
              <w:keepNext w:val="0"/>
              <w:keepLines w:val="0"/>
              <w:pageBreakBefore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p>
        </w:tc>
        <w:tc>
          <w:tcPr>
            <w:tcW w:w="1062" w:type="dxa"/>
            <w:noWrap w:val="0"/>
            <w:vAlign w:val="center"/>
          </w:tcPr>
          <w:p w14:paraId="078849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14:paraId="141187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14:paraId="71A039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10" w:type="dxa"/>
            <w:noWrap w:val="0"/>
            <w:vAlign w:val="center"/>
          </w:tcPr>
          <w:p w14:paraId="4FBD42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346" w:type="dxa"/>
            <w:noWrap w:val="0"/>
            <w:vAlign w:val="center"/>
          </w:tcPr>
          <w:p w14:paraId="09FC7A1B">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公众对城管执法工作满意度</w:t>
            </w:r>
          </w:p>
        </w:tc>
        <w:tc>
          <w:tcPr>
            <w:tcW w:w="1290" w:type="dxa"/>
            <w:noWrap w:val="0"/>
            <w:vAlign w:val="center"/>
          </w:tcPr>
          <w:p w14:paraId="75B252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95%以上</w:t>
            </w:r>
          </w:p>
        </w:tc>
        <w:tc>
          <w:tcPr>
            <w:tcW w:w="1275" w:type="dxa"/>
            <w:noWrap w:val="0"/>
            <w:vAlign w:val="center"/>
          </w:tcPr>
          <w:p w14:paraId="7E89A1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97%</w:t>
            </w:r>
          </w:p>
        </w:tc>
        <w:tc>
          <w:tcPr>
            <w:tcW w:w="780" w:type="dxa"/>
            <w:noWrap w:val="0"/>
            <w:vAlign w:val="center"/>
          </w:tcPr>
          <w:p w14:paraId="08E9DC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25" w:type="dxa"/>
            <w:noWrap w:val="0"/>
            <w:vAlign w:val="center"/>
          </w:tcPr>
          <w:p w14:paraId="1B0517E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31" w:type="dxa"/>
            <w:noWrap w:val="0"/>
            <w:vAlign w:val="center"/>
          </w:tcPr>
          <w:p w14:paraId="15F99E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9932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043" w:type="dxa"/>
            <w:gridSpan w:val="6"/>
            <w:noWrap w:val="0"/>
            <w:vAlign w:val="center"/>
          </w:tcPr>
          <w:p w14:paraId="58E779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80" w:type="dxa"/>
            <w:noWrap w:val="0"/>
            <w:vAlign w:val="center"/>
          </w:tcPr>
          <w:p w14:paraId="5E2043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25" w:type="dxa"/>
            <w:noWrap w:val="0"/>
            <w:vAlign w:val="center"/>
          </w:tcPr>
          <w:p w14:paraId="011150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97.57</w:t>
            </w:r>
          </w:p>
        </w:tc>
        <w:tc>
          <w:tcPr>
            <w:tcW w:w="1431" w:type="dxa"/>
            <w:noWrap w:val="0"/>
            <w:vAlign w:val="center"/>
          </w:tcPr>
          <w:p w14:paraId="53FEB6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14:paraId="0C8F8B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CESI仿宋-GB2312" w:hAnsi="CESI仿宋-GB2312" w:eastAsia="CESI仿宋-GB2312" w:cs="CESI仿宋-GB2312"/>
          <w:color w:val="auto"/>
          <w:sz w:val="22"/>
          <w:szCs w:val="22"/>
        </w:rPr>
      </w:pPr>
    </w:p>
    <w:p w14:paraId="6E6AE4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CESI仿宋-GB2312" w:hAnsi="CESI仿宋-GB2312" w:eastAsia="CESI仿宋-GB2312" w:cs="CESI仿宋-GB2312"/>
          <w:color w:val="auto"/>
          <w:sz w:val="22"/>
          <w:szCs w:val="22"/>
          <w:lang w:eastAsia="zh-CN"/>
        </w:rPr>
      </w:pPr>
      <w:r>
        <w:rPr>
          <w:rFonts w:hint="eastAsia" w:ascii="CESI仿宋-GB2312" w:hAnsi="CESI仿宋-GB2312" w:eastAsia="CESI仿宋-GB2312" w:cs="CESI仿宋-GB2312"/>
          <w:color w:val="auto"/>
          <w:sz w:val="22"/>
          <w:szCs w:val="22"/>
        </w:rPr>
        <w:t>填表人</w:t>
      </w:r>
      <w:r>
        <w:rPr>
          <w:rFonts w:hint="eastAsia" w:ascii="CESI仿宋-GB2312" w:hAnsi="CESI仿宋-GB2312" w:eastAsia="CESI仿宋-GB2312" w:cs="CESI仿宋-GB2312"/>
          <w:color w:val="auto"/>
          <w:sz w:val="22"/>
          <w:szCs w:val="22"/>
          <w:lang w:eastAsia="zh-CN"/>
        </w:rPr>
        <w:t>：徐建</w:t>
      </w:r>
      <w:r>
        <w:rPr>
          <w:rFonts w:hint="eastAsia" w:ascii="CESI仿宋-GB2312" w:hAnsi="CESI仿宋-GB2312" w:eastAsia="CESI仿宋-GB2312" w:cs="CESI仿宋-GB2312"/>
          <w:color w:val="auto"/>
          <w:sz w:val="22"/>
          <w:szCs w:val="22"/>
          <w:lang w:val="en-US" w:eastAsia="zh-CN"/>
        </w:rPr>
        <w:t xml:space="preserve"> </w:t>
      </w:r>
      <w:r>
        <w:rPr>
          <w:rFonts w:hint="eastAsia" w:ascii="CESI仿宋-GB2312" w:hAnsi="CESI仿宋-GB2312" w:eastAsia="CESI仿宋-GB2312" w:cs="CESI仿宋-GB2312"/>
          <w:color w:val="auto"/>
          <w:sz w:val="22"/>
          <w:szCs w:val="22"/>
        </w:rPr>
        <w:t xml:space="preserve">  填报日期：</w:t>
      </w:r>
      <w:r>
        <w:rPr>
          <w:rFonts w:hint="eastAsia" w:ascii="CESI仿宋-GB2312" w:hAnsi="CESI仿宋-GB2312" w:eastAsia="CESI仿宋-GB2312" w:cs="CESI仿宋-GB2312"/>
          <w:color w:val="auto"/>
          <w:sz w:val="22"/>
          <w:szCs w:val="22"/>
          <w:lang w:val="en-US" w:eastAsia="zh-CN"/>
        </w:rPr>
        <w:t xml:space="preserve">2026.6.15 </w:t>
      </w:r>
      <w:r>
        <w:rPr>
          <w:rFonts w:hint="eastAsia" w:ascii="CESI仿宋-GB2312" w:hAnsi="CESI仿宋-GB2312" w:eastAsia="CESI仿宋-GB2312" w:cs="CESI仿宋-GB2312"/>
          <w:color w:val="auto"/>
          <w:sz w:val="22"/>
          <w:szCs w:val="22"/>
        </w:rPr>
        <w:t xml:space="preserve"> 联系电话：</w:t>
      </w:r>
      <w:r>
        <w:rPr>
          <w:rFonts w:hint="eastAsia" w:ascii="CESI仿宋-GB2312" w:hAnsi="CESI仿宋-GB2312" w:eastAsia="CESI仿宋-GB2312" w:cs="CESI仿宋-GB2312"/>
          <w:color w:val="auto"/>
          <w:sz w:val="22"/>
          <w:szCs w:val="22"/>
          <w:lang w:val="en-US" w:eastAsia="zh-CN"/>
        </w:rPr>
        <w:t>0730-8227298</w:t>
      </w:r>
      <w:r>
        <w:rPr>
          <w:rFonts w:hint="eastAsia" w:ascii="CESI仿宋-GB2312" w:hAnsi="CESI仿宋-GB2312" w:eastAsia="CESI仿宋-GB2312" w:cs="CESI仿宋-GB2312"/>
          <w:color w:val="auto"/>
          <w:sz w:val="22"/>
          <w:szCs w:val="22"/>
        </w:rPr>
        <w:t xml:space="preserve"> </w:t>
      </w:r>
      <w:r>
        <w:rPr>
          <w:rFonts w:hint="eastAsia" w:ascii="CESI仿宋-GB2312" w:hAnsi="CESI仿宋-GB2312" w:eastAsia="CESI仿宋-GB2312" w:cs="CESI仿宋-GB2312"/>
          <w:color w:val="auto"/>
          <w:sz w:val="22"/>
          <w:szCs w:val="22"/>
          <w:lang w:val="en-US" w:eastAsia="zh-CN"/>
        </w:rPr>
        <w:t xml:space="preserve"> </w:t>
      </w:r>
      <w:r>
        <w:rPr>
          <w:rFonts w:hint="eastAsia" w:ascii="CESI仿宋-GB2312" w:hAnsi="CESI仿宋-GB2312" w:eastAsia="CESI仿宋-GB2312" w:cs="CESI仿宋-GB2312"/>
          <w:color w:val="auto"/>
          <w:sz w:val="22"/>
          <w:szCs w:val="22"/>
        </w:rPr>
        <w:t>单位负责人：</w:t>
      </w:r>
      <w:r>
        <w:rPr>
          <w:rFonts w:hint="eastAsia" w:ascii="CESI仿宋-GB2312" w:hAnsi="CESI仿宋-GB2312" w:eastAsia="CESI仿宋-GB2312" w:cs="CESI仿宋-GB2312"/>
          <w:color w:val="auto"/>
          <w:sz w:val="22"/>
          <w:szCs w:val="22"/>
          <w:lang w:eastAsia="zh-CN"/>
        </w:rPr>
        <w:t>郭沫农</w:t>
      </w:r>
    </w:p>
    <w:p w14:paraId="547EE2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CESI仿宋-GB2312" w:hAnsi="CESI仿宋-GB2312" w:eastAsia="CESI仿宋-GB2312" w:cs="CESI仿宋-GB2312"/>
          <w:color w:val="auto"/>
          <w:sz w:val="22"/>
          <w:szCs w:val="22"/>
          <w:lang w:eastAsia="zh-CN"/>
        </w:rPr>
      </w:pPr>
    </w:p>
    <w:p w14:paraId="30EEDCC4">
      <w:pPr>
        <w:widowControl/>
        <w:spacing w:line="600" w:lineRule="exact"/>
        <w:jc w:val="left"/>
        <w:rPr>
          <w:rFonts w:hint="eastAsia" w:ascii="仿宋" w:hAnsi="仿宋" w:eastAsia="宋体" w:cs="Times New Roman"/>
          <w:kern w:val="0"/>
          <w:sz w:val="32"/>
          <w:szCs w:val="32"/>
          <w:lang w:val="en-US" w:eastAsia="zh-CN" w:bidi="ar-SA"/>
        </w:rPr>
      </w:pPr>
      <w:r>
        <w:rPr>
          <w:rFonts w:hint="eastAsia" w:ascii="仿宋_GB2312" w:hAnsi="仿宋_GB2312" w:eastAsia="仿宋_GB2312" w:cs="仿宋_GB2312"/>
          <w:kern w:val="0"/>
          <w:sz w:val="32"/>
          <w:szCs w:val="32"/>
          <w:lang w:val="en-US" w:eastAsia="zh-CN" w:bidi="ar-SA"/>
        </w:rPr>
        <w:br w:type="page"/>
      </w:r>
    </w:p>
    <w:p w14:paraId="22004BF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3-1</w:t>
      </w:r>
    </w:p>
    <w:p w14:paraId="38BC7C4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1078"/>
        <w:gridCol w:w="1031"/>
        <w:gridCol w:w="1197"/>
        <w:gridCol w:w="1123"/>
        <w:gridCol w:w="1093"/>
        <w:gridCol w:w="943"/>
        <w:gridCol w:w="827"/>
        <w:gridCol w:w="1482"/>
      </w:tblGrid>
      <w:tr w14:paraId="30BD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22F1A9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14:paraId="62C39A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4" w:type="dxa"/>
            <w:gridSpan w:val="8"/>
            <w:noWrap w:val="0"/>
            <w:vAlign w:val="center"/>
          </w:tcPr>
          <w:p w14:paraId="455E1E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rPr>
              <w:t>城管事务管理经费</w:t>
            </w:r>
            <w:r>
              <w:rPr>
                <w:rFonts w:hint="eastAsia" w:ascii="仿宋_GB2312" w:hAnsi="仿宋_GB2312" w:eastAsia="仿宋_GB2312" w:cs="仿宋_GB2312"/>
                <w:color w:val="000000"/>
                <w:sz w:val="20"/>
                <w:szCs w:val="20"/>
                <w:highlight w:val="none"/>
              </w:rPr>
              <w:t>　</w:t>
            </w:r>
          </w:p>
        </w:tc>
      </w:tr>
      <w:tr w14:paraId="1752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077" w:type="dxa"/>
            <w:noWrap w:val="0"/>
            <w:vAlign w:val="center"/>
          </w:tcPr>
          <w:p w14:paraId="4287E5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429" w:type="dxa"/>
            <w:gridSpan w:val="4"/>
            <w:noWrap w:val="0"/>
            <w:vAlign w:val="center"/>
          </w:tcPr>
          <w:p w14:paraId="472774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岳阳市城市管理和综合执法局</w:t>
            </w:r>
          </w:p>
        </w:tc>
        <w:tc>
          <w:tcPr>
            <w:tcW w:w="1093" w:type="dxa"/>
            <w:noWrap w:val="0"/>
            <w:vAlign w:val="center"/>
          </w:tcPr>
          <w:p w14:paraId="1CED0A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实施单位</w:t>
            </w:r>
          </w:p>
        </w:tc>
        <w:tc>
          <w:tcPr>
            <w:tcW w:w="3252" w:type="dxa"/>
            <w:gridSpan w:val="3"/>
            <w:noWrap w:val="0"/>
            <w:vAlign w:val="center"/>
          </w:tcPr>
          <w:p w14:paraId="4A3B7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岳阳市城市管理综合行政执法支队</w:t>
            </w:r>
          </w:p>
        </w:tc>
      </w:tr>
      <w:tr w14:paraId="5F7D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restart"/>
            <w:noWrap w:val="0"/>
            <w:vAlign w:val="center"/>
          </w:tcPr>
          <w:p w14:paraId="361DC4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09" w:type="dxa"/>
            <w:gridSpan w:val="2"/>
            <w:noWrap w:val="0"/>
            <w:vAlign w:val="center"/>
          </w:tcPr>
          <w:p w14:paraId="6F7720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97" w:type="dxa"/>
            <w:noWrap w:val="0"/>
            <w:vAlign w:val="center"/>
          </w:tcPr>
          <w:p w14:paraId="71BE5A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14:paraId="7E38D1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23" w:type="dxa"/>
            <w:noWrap w:val="0"/>
            <w:vAlign w:val="center"/>
          </w:tcPr>
          <w:p w14:paraId="72D06A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14:paraId="0D27F8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093" w:type="dxa"/>
            <w:noWrap w:val="0"/>
            <w:vAlign w:val="center"/>
          </w:tcPr>
          <w:p w14:paraId="343187BF">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14:paraId="43823160">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943" w:type="dxa"/>
            <w:noWrap w:val="0"/>
            <w:vAlign w:val="center"/>
          </w:tcPr>
          <w:p w14:paraId="379FEB90">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27" w:type="dxa"/>
            <w:noWrap w:val="0"/>
            <w:vAlign w:val="center"/>
          </w:tcPr>
          <w:p w14:paraId="06370E81">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82" w:type="dxa"/>
            <w:noWrap w:val="0"/>
            <w:vAlign w:val="center"/>
          </w:tcPr>
          <w:p w14:paraId="22A73BD9">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14:paraId="3ACF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077" w:type="dxa"/>
            <w:vMerge w:val="continue"/>
            <w:noWrap w:val="0"/>
            <w:vAlign w:val="center"/>
          </w:tcPr>
          <w:p w14:paraId="62CAA2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2109" w:type="dxa"/>
            <w:gridSpan w:val="2"/>
            <w:noWrap w:val="0"/>
            <w:vAlign w:val="center"/>
          </w:tcPr>
          <w:p w14:paraId="171BB2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197" w:type="dxa"/>
            <w:noWrap w:val="0"/>
            <w:vAlign w:val="center"/>
          </w:tcPr>
          <w:p w14:paraId="31BFB4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197.5</w:t>
            </w:r>
          </w:p>
        </w:tc>
        <w:tc>
          <w:tcPr>
            <w:tcW w:w="1123" w:type="dxa"/>
            <w:noWrap w:val="0"/>
            <w:vAlign w:val="center"/>
          </w:tcPr>
          <w:p w14:paraId="703CF9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170.82</w:t>
            </w:r>
          </w:p>
        </w:tc>
        <w:tc>
          <w:tcPr>
            <w:tcW w:w="1093" w:type="dxa"/>
            <w:noWrap w:val="0"/>
            <w:vAlign w:val="center"/>
          </w:tcPr>
          <w:p w14:paraId="1B1D50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170.82</w:t>
            </w:r>
          </w:p>
        </w:tc>
        <w:tc>
          <w:tcPr>
            <w:tcW w:w="943" w:type="dxa"/>
            <w:noWrap w:val="0"/>
            <w:vAlign w:val="center"/>
          </w:tcPr>
          <w:p w14:paraId="0AF059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27" w:type="dxa"/>
            <w:noWrap w:val="0"/>
            <w:vAlign w:val="center"/>
          </w:tcPr>
          <w:p w14:paraId="1B5268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82" w:type="dxa"/>
            <w:noWrap w:val="0"/>
            <w:vAlign w:val="center"/>
          </w:tcPr>
          <w:p w14:paraId="4FA2A3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10</w:t>
            </w:r>
          </w:p>
        </w:tc>
      </w:tr>
      <w:tr w14:paraId="4442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077" w:type="dxa"/>
            <w:vMerge w:val="continue"/>
            <w:noWrap w:val="0"/>
            <w:vAlign w:val="center"/>
          </w:tcPr>
          <w:p w14:paraId="0804EC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2109" w:type="dxa"/>
            <w:gridSpan w:val="2"/>
            <w:noWrap w:val="0"/>
            <w:vAlign w:val="center"/>
          </w:tcPr>
          <w:p w14:paraId="4353E3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197" w:type="dxa"/>
            <w:noWrap w:val="0"/>
            <w:vAlign w:val="center"/>
          </w:tcPr>
          <w:p w14:paraId="365978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197.5</w:t>
            </w:r>
          </w:p>
        </w:tc>
        <w:tc>
          <w:tcPr>
            <w:tcW w:w="1123" w:type="dxa"/>
            <w:noWrap w:val="0"/>
            <w:vAlign w:val="center"/>
          </w:tcPr>
          <w:p w14:paraId="4E88ED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170.82</w:t>
            </w:r>
          </w:p>
        </w:tc>
        <w:tc>
          <w:tcPr>
            <w:tcW w:w="1093" w:type="dxa"/>
            <w:noWrap w:val="0"/>
            <w:vAlign w:val="center"/>
          </w:tcPr>
          <w:p w14:paraId="13A249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170.82</w:t>
            </w:r>
          </w:p>
        </w:tc>
        <w:tc>
          <w:tcPr>
            <w:tcW w:w="943" w:type="dxa"/>
            <w:noWrap w:val="0"/>
            <w:vAlign w:val="center"/>
          </w:tcPr>
          <w:p w14:paraId="7A4AEB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7" w:type="dxa"/>
            <w:noWrap w:val="0"/>
            <w:vAlign w:val="center"/>
          </w:tcPr>
          <w:p w14:paraId="7FC70D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82" w:type="dxa"/>
            <w:noWrap w:val="0"/>
            <w:vAlign w:val="center"/>
          </w:tcPr>
          <w:p w14:paraId="631095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139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077" w:type="dxa"/>
            <w:vMerge w:val="continue"/>
            <w:noWrap w:val="0"/>
            <w:vAlign w:val="center"/>
          </w:tcPr>
          <w:p w14:paraId="0474CA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2109" w:type="dxa"/>
            <w:gridSpan w:val="2"/>
            <w:noWrap w:val="0"/>
            <w:vAlign w:val="center"/>
          </w:tcPr>
          <w:p w14:paraId="35348A53">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197" w:type="dxa"/>
            <w:noWrap w:val="0"/>
            <w:vAlign w:val="center"/>
          </w:tcPr>
          <w:p w14:paraId="4927AD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23" w:type="dxa"/>
            <w:noWrap w:val="0"/>
            <w:vAlign w:val="center"/>
          </w:tcPr>
          <w:p w14:paraId="3E39AD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93" w:type="dxa"/>
            <w:noWrap w:val="0"/>
            <w:vAlign w:val="center"/>
          </w:tcPr>
          <w:p w14:paraId="1FC48E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43" w:type="dxa"/>
            <w:noWrap w:val="0"/>
            <w:vAlign w:val="center"/>
          </w:tcPr>
          <w:p w14:paraId="5B4945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7" w:type="dxa"/>
            <w:noWrap w:val="0"/>
            <w:vAlign w:val="center"/>
          </w:tcPr>
          <w:p w14:paraId="185541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82" w:type="dxa"/>
            <w:noWrap w:val="0"/>
            <w:vAlign w:val="center"/>
          </w:tcPr>
          <w:p w14:paraId="036341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787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077" w:type="dxa"/>
            <w:vMerge w:val="continue"/>
            <w:noWrap w:val="0"/>
            <w:vAlign w:val="center"/>
          </w:tcPr>
          <w:p w14:paraId="22291F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2109" w:type="dxa"/>
            <w:gridSpan w:val="2"/>
            <w:noWrap w:val="0"/>
            <w:vAlign w:val="center"/>
          </w:tcPr>
          <w:p w14:paraId="6D7068C0">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197" w:type="dxa"/>
            <w:noWrap w:val="0"/>
            <w:vAlign w:val="center"/>
          </w:tcPr>
          <w:p w14:paraId="63930D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23" w:type="dxa"/>
            <w:noWrap w:val="0"/>
            <w:vAlign w:val="center"/>
          </w:tcPr>
          <w:p w14:paraId="2C4917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93" w:type="dxa"/>
            <w:noWrap w:val="0"/>
            <w:vAlign w:val="center"/>
          </w:tcPr>
          <w:p w14:paraId="16E80C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43" w:type="dxa"/>
            <w:noWrap w:val="0"/>
            <w:vAlign w:val="center"/>
          </w:tcPr>
          <w:p w14:paraId="09552F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27" w:type="dxa"/>
            <w:noWrap w:val="0"/>
            <w:vAlign w:val="center"/>
          </w:tcPr>
          <w:p w14:paraId="7B4912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82" w:type="dxa"/>
            <w:noWrap w:val="0"/>
            <w:vAlign w:val="center"/>
          </w:tcPr>
          <w:p w14:paraId="64533F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F79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077" w:type="dxa"/>
            <w:vMerge w:val="restart"/>
            <w:noWrap w:val="0"/>
            <w:vAlign w:val="center"/>
          </w:tcPr>
          <w:p w14:paraId="5CA66C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429" w:type="dxa"/>
            <w:gridSpan w:val="4"/>
            <w:noWrap w:val="0"/>
            <w:vAlign w:val="center"/>
          </w:tcPr>
          <w:p w14:paraId="26B12E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45" w:type="dxa"/>
            <w:gridSpan w:val="4"/>
            <w:noWrap w:val="0"/>
            <w:vAlign w:val="center"/>
          </w:tcPr>
          <w:p w14:paraId="13F608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14:paraId="1E93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077" w:type="dxa"/>
            <w:vMerge w:val="continue"/>
            <w:noWrap w:val="0"/>
            <w:vAlign w:val="center"/>
          </w:tcPr>
          <w:p w14:paraId="0EED8A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4429" w:type="dxa"/>
            <w:gridSpan w:val="4"/>
            <w:noWrap w:val="0"/>
            <w:vAlign w:val="center"/>
          </w:tcPr>
          <w:p w14:paraId="180BF7FC">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在燃气执法、扬尘防治、住建领域执法、广告园林执法、市政公用设施执法、固废处置执法等方面进一步探索和完善执法机制，加大管理力度，提升管理水平，为市民创造秀美、整洁、安宁的生活环境。　</w:t>
            </w:r>
          </w:p>
        </w:tc>
        <w:tc>
          <w:tcPr>
            <w:tcW w:w="4345" w:type="dxa"/>
            <w:gridSpan w:val="4"/>
            <w:noWrap w:val="0"/>
            <w:vAlign w:val="center"/>
          </w:tcPr>
          <w:p w14:paraId="62C3DBB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进一步完善了燃气执法、扬尘防治、住建领域执法、广告园林执法、市政公用设施执法、固废处置执法等方面的执法机制，宣传与执法相结合，同时加大了管理力度，为市民创造了舒适、安宁的生活环境。</w:t>
            </w:r>
          </w:p>
        </w:tc>
      </w:tr>
      <w:tr w14:paraId="24E9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077" w:type="dxa"/>
            <w:vMerge w:val="restart"/>
            <w:noWrap w:val="0"/>
            <w:vAlign w:val="center"/>
          </w:tcPr>
          <w:p w14:paraId="7590A8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14:paraId="06F7ED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14:paraId="16E151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14:paraId="089633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78" w:type="dxa"/>
            <w:noWrap w:val="0"/>
            <w:vAlign w:val="center"/>
          </w:tcPr>
          <w:p w14:paraId="753445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1" w:type="dxa"/>
            <w:noWrap w:val="0"/>
            <w:vAlign w:val="center"/>
          </w:tcPr>
          <w:p w14:paraId="0C5515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197" w:type="dxa"/>
            <w:noWrap w:val="0"/>
            <w:vAlign w:val="center"/>
          </w:tcPr>
          <w:p w14:paraId="1A31A7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23" w:type="dxa"/>
            <w:noWrap w:val="0"/>
            <w:vAlign w:val="center"/>
          </w:tcPr>
          <w:p w14:paraId="3D0E97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14:paraId="12C2B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093" w:type="dxa"/>
            <w:noWrap w:val="0"/>
            <w:vAlign w:val="center"/>
          </w:tcPr>
          <w:p w14:paraId="543E8C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14:paraId="395E6E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943" w:type="dxa"/>
            <w:noWrap w:val="0"/>
            <w:vAlign w:val="center"/>
          </w:tcPr>
          <w:p w14:paraId="54D322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27" w:type="dxa"/>
            <w:noWrap w:val="0"/>
            <w:vAlign w:val="center"/>
          </w:tcPr>
          <w:p w14:paraId="074F50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82" w:type="dxa"/>
            <w:noWrap w:val="0"/>
            <w:vAlign w:val="center"/>
          </w:tcPr>
          <w:p w14:paraId="52800747">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14:paraId="0A7B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5BE13F56">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restart"/>
            <w:noWrap w:val="0"/>
            <w:vAlign w:val="center"/>
          </w:tcPr>
          <w:p w14:paraId="0D119B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14:paraId="787641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p w14:paraId="54EEB7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1" w:type="dxa"/>
            <w:vMerge w:val="restart"/>
            <w:noWrap w:val="0"/>
            <w:vAlign w:val="center"/>
          </w:tcPr>
          <w:p w14:paraId="7DF698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197" w:type="dxa"/>
            <w:noWrap w:val="0"/>
            <w:vAlign w:val="center"/>
          </w:tcPr>
          <w:p w14:paraId="29E277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iCs w:val="0"/>
                <w:color w:val="000000"/>
                <w:kern w:val="0"/>
                <w:sz w:val="20"/>
                <w:szCs w:val="20"/>
                <w:u w:val="none"/>
                <w:lang w:val="en-US" w:eastAsia="zh-CN" w:bidi="ar"/>
              </w:rPr>
              <w:t>日常巡查</w:t>
            </w:r>
          </w:p>
        </w:tc>
        <w:tc>
          <w:tcPr>
            <w:tcW w:w="1123" w:type="dxa"/>
            <w:noWrap w:val="0"/>
            <w:vAlign w:val="center"/>
          </w:tcPr>
          <w:p w14:paraId="321126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val="0"/>
                <w:bCs w:val="0"/>
                <w:color w:val="000000"/>
                <w:sz w:val="20"/>
                <w:szCs w:val="20"/>
                <w:highlight w:val="none"/>
                <w:lang w:val="en-US"/>
              </w:rPr>
            </w:pPr>
            <w:r>
              <w:rPr>
                <w:rFonts w:hint="default" w:ascii="Arial" w:hAnsi="Arial" w:eastAsia="仿宋_GB2312" w:cs="Arial"/>
                <w:b w:val="0"/>
                <w:bCs w:val="0"/>
                <w:i w:val="0"/>
                <w:iCs w:val="0"/>
                <w:color w:val="000000"/>
                <w:kern w:val="0"/>
                <w:sz w:val="20"/>
                <w:szCs w:val="20"/>
                <w:u w:val="none"/>
                <w:lang w:val="en-US" w:eastAsia="zh-CN" w:bidi="ar"/>
              </w:rPr>
              <w:t>≧</w:t>
            </w:r>
            <w:r>
              <w:rPr>
                <w:rFonts w:hint="eastAsia" w:ascii="仿宋_GB2312" w:hAnsi="仿宋_GB2312" w:eastAsia="仿宋_GB2312" w:cs="仿宋_GB2312"/>
                <w:b w:val="0"/>
                <w:bCs w:val="0"/>
                <w:i w:val="0"/>
                <w:iCs w:val="0"/>
                <w:color w:val="000000"/>
                <w:kern w:val="0"/>
                <w:sz w:val="20"/>
                <w:szCs w:val="20"/>
                <w:u w:val="none"/>
                <w:lang w:val="en-US" w:eastAsia="zh-CN" w:bidi="ar"/>
              </w:rPr>
              <w:t>600次</w:t>
            </w:r>
          </w:p>
        </w:tc>
        <w:tc>
          <w:tcPr>
            <w:tcW w:w="1093" w:type="dxa"/>
            <w:noWrap w:val="0"/>
            <w:vAlign w:val="center"/>
          </w:tcPr>
          <w:p w14:paraId="779854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b w:val="0"/>
                <w:bCs w:val="0"/>
                <w:color w:val="auto"/>
                <w:sz w:val="20"/>
                <w:szCs w:val="20"/>
                <w:highlight w:val="none"/>
                <w:lang w:val="en-US" w:eastAsia="zh-CN"/>
              </w:rPr>
            </w:pPr>
            <w:r>
              <w:rPr>
                <w:rFonts w:hint="eastAsia" w:ascii="仿宋_GB2312" w:hAnsi="仿宋_GB2312" w:eastAsia="仿宋_GB2312" w:cs="仿宋_GB2312"/>
                <w:b w:val="0"/>
                <w:bCs w:val="0"/>
                <w:color w:val="auto"/>
                <w:sz w:val="20"/>
                <w:szCs w:val="20"/>
                <w:highlight w:val="none"/>
                <w:lang w:val="en-US" w:eastAsia="zh-CN"/>
              </w:rPr>
              <w:t>720余次</w:t>
            </w:r>
          </w:p>
        </w:tc>
        <w:tc>
          <w:tcPr>
            <w:tcW w:w="943" w:type="dxa"/>
            <w:noWrap w:val="0"/>
            <w:vAlign w:val="center"/>
          </w:tcPr>
          <w:p w14:paraId="1A8399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1EFEC3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14E731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35FD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5F562D59">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3F095E78">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2A7B69C8">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123924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iCs w:val="0"/>
                <w:color w:val="000000"/>
                <w:kern w:val="0"/>
                <w:sz w:val="20"/>
                <w:szCs w:val="20"/>
                <w:u w:val="none"/>
                <w:lang w:val="en-US" w:eastAsia="zh-CN" w:bidi="ar"/>
              </w:rPr>
              <w:t>专项整治行动</w:t>
            </w:r>
          </w:p>
        </w:tc>
        <w:tc>
          <w:tcPr>
            <w:tcW w:w="1123" w:type="dxa"/>
            <w:noWrap w:val="0"/>
            <w:vAlign w:val="center"/>
          </w:tcPr>
          <w:p w14:paraId="04434E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val="0"/>
                <w:bCs w:val="0"/>
                <w:color w:val="000000"/>
                <w:sz w:val="20"/>
                <w:szCs w:val="20"/>
                <w:highlight w:val="none"/>
                <w:lang w:val="en-US"/>
              </w:rPr>
            </w:pPr>
            <w:r>
              <w:rPr>
                <w:rFonts w:hint="default" w:ascii="Arial" w:hAnsi="Arial" w:eastAsia="仿宋_GB2312" w:cs="Arial"/>
                <w:b w:val="0"/>
                <w:bCs w:val="0"/>
                <w:i w:val="0"/>
                <w:iCs w:val="0"/>
                <w:color w:val="000000"/>
                <w:kern w:val="0"/>
                <w:sz w:val="20"/>
                <w:szCs w:val="20"/>
                <w:u w:val="none"/>
                <w:lang w:val="en-US" w:eastAsia="zh-CN" w:bidi="ar"/>
              </w:rPr>
              <w:t>≧</w:t>
            </w:r>
            <w:r>
              <w:rPr>
                <w:rFonts w:hint="eastAsia" w:ascii="仿宋_GB2312" w:hAnsi="仿宋_GB2312" w:eastAsia="仿宋_GB2312" w:cs="仿宋_GB2312"/>
                <w:b w:val="0"/>
                <w:bCs w:val="0"/>
                <w:i w:val="0"/>
                <w:iCs w:val="0"/>
                <w:color w:val="000000"/>
                <w:kern w:val="0"/>
                <w:sz w:val="20"/>
                <w:szCs w:val="20"/>
                <w:u w:val="none"/>
                <w:lang w:val="en-US" w:eastAsia="zh-CN" w:bidi="ar"/>
              </w:rPr>
              <w:t>50次</w:t>
            </w:r>
          </w:p>
        </w:tc>
        <w:tc>
          <w:tcPr>
            <w:tcW w:w="1093" w:type="dxa"/>
            <w:noWrap w:val="0"/>
            <w:vAlign w:val="center"/>
          </w:tcPr>
          <w:p w14:paraId="528770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b w:val="0"/>
                <w:bCs w:val="0"/>
                <w:color w:val="auto"/>
                <w:sz w:val="20"/>
                <w:szCs w:val="20"/>
                <w:highlight w:val="none"/>
                <w:lang w:val="en-US" w:eastAsia="zh-CN"/>
              </w:rPr>
            </w:pPr>
            <w:r>
              <w:rPr>
                <w:rFonts w:hint="eastAsia" w:ascii="仿宋_GB2312" w:hAnsi="仿宋_GB2312" w:eastAsia="仿宋_GB2312" w:cs="仿宋_GB2312"/>
                <w:b w:val="0"/>
                <w:bCs w:val="0"/>
                <w:color w:val="auto"/>
                <w:sz w:val="20"/>
                <w:szCs w:val="20"/>
                <w:highlight w:val="none"/>
                <w:lang w:val="en-US" w:eastAsia="zh-CN"/>
              </w:rPr>
              <w:t>60余次</w:t>
            </w:r>
          </w:p>
        </w:tc>
        <w:tc>
          <w:tcPr>
            <w:tcW w:w="943" w:type="dxa"/>
            <w:noWrap w:val="0"/>
            <w:vAlign w:val="center"/>
          </w:tcPr>
          <w:p w14:paraId="2D3355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71A7F5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10C6C8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2EB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40E49EF0">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7A3D7C89">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795A4D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2DA477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政策法规宣传活动</w:t>
            </w:r>
          </w:p>
        </w:tc>
        <w:tc>
          <w:tcPr>
            <w:tcW w:w="1123" w:type="dxa"/>
            <w:noWrap w:val="0"/>
            <w:vAlign w:val="center"/>
          </w:tcPr>
          <w:p w14:paraId="5474B0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b w:val="0"/>
                <w:bCs w:val="0"/>
                <w:color w:val="000000"/>
                <w:sz w:val="20"/>
                <w:szCs w:val="20"/>
                <w:highlight w:val="none"/>
              </w:rPr>
            </w:pPr>
            <w:r>
              <w:rPr>
                <w:rFonts w:hint="default" w:ascii="Arial" w:hAnsi="Arial" w:eastAsia="仿宋_GB2312" w:cs="Arial"/>
                <w:b w:val="0"/>
                <w:bCs w:val="0"/>
                <w:color w:val="000000"/>
                <w:sz w:val="20"/>
                <w:szCs w:val="20"/>
                <w:highlight w:val="none"/>
                <w:lang w:val="en-US" w:eastAsia="zh-CN"/>
              </w:rPr>
              <w:t>≧</w:t>
            </w:r>
            <w:r>
              <w:rPr>
                <w:rFonts w:hint="eastAsia" w:ascii="仿宋_GB2312" w:hAnsi="仿宋_GB2312" w:eastAsia="仿宋_GB2312" w:cs="仿宋_GB2312"/>
                <w:b w:val="0"/>
                <w:bCs w:val="0"/>
                <w:color w:val="000000"/>
                <w:sz w:val="20"/>
                <w:szCs w:val="20"/>
                <w:highlight w:val="none"/>
                <w:lang w:val="en-US" w:eastAsia="zh-CN"/>
              </w:rPr>
              <w:t>4次</w:t>
            </w:r>
          </w:p>
        </w:tc>
        <w:tc>
          <w:tcPr>
            <w:tcW w:w="1093" w:type="dxa"/>
            <w:noWrap w:val="0"/>
            <w:vAlign w:val="center"/>
          </w:tcPr>
          <w:p w14:paraId="4A6C19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b w:val="0"/>
                <w:bCs w:val="0"/>
                <w:color w:val="000000"/>
                <w:sz w:val="20"/>
                <w:szCs w:val="20"/>
                <w:highlight w:val="none"/>
                <w:lang w:val="en-US" w:eastAsia="zh-CN"/>
              </w:rPr>
            </w:pPr>
            <w:r>
              <w:rPr>
                <w:rFonts w:hint="eastAsia" w:ascii="仿宋_GB2312" w:hAnsi="仿宋_GB2312" w:eastAsia="仿宋_GB2312" w:cs="仿宋_GB2312"/>
                <w:b w:val="0"/>
                <w:bCs w:val="0"/>
                <w:color w:val="000000"/>
                <w:sz w:val="20"/>
                <w:szCs w:val="20"/>
                <w:highlight w:val="none"/>
                <w:lang w:val="en-US" w:eastAsia="zh-CN"/>
              </w:rPr>
              <w:t>4次</w:t>
            </w:r>
          </w:p>
        </w:tc>
        <w:tc>
          <w:tcPr>
            <w:tcW w:w="943" w:type="dxa"/>
            <w:noWrap w:val="0"/>
            <w:vAlign w:val="center"/>
          </w:tcPr>
          <w:p w14:paraId="75D846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34F5DC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3100C9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p>
        </w:tc>
      </w:tr>
      <w:tr w14:paraId="6240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7305107F">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53C30B32">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restart"/>
            <w:noWrap w:val="0"/>
            <w:vAlign w:val="center"/>
          </w:tcPr>
          <w:p w14:paraId="0DB8DF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197" w:type="dxa"/>
            <w:noWrap w:val="0"/>
            <w:vAlign w:val="center"/>
          </w:tcPr>
          <w:p w14:paraId="6ED998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依法依规实施</w:t>
            </w:r>
          </w:p>
        </w:tc>
        <w:tc>
          <w:tcPr>
            <w:tcW w:w="1123" w:type="dxa"/>
            <w:noWrap w:val="0"/>
            <w:vAlign w:val="center"/>
          </w:tcPr>
          <w:p w14:paraId="2E86D8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依法依规按程序实施</w:t>
            </w:r>
          </w:p>
        </w:tc>
        <w:tc>
          <w:tcPr>
            <w:tcW w:w="1093" w:type="dxa"/>
            <w:noWrap w:val="0"/>
            <w:vAlign w:val="center"/>
          </w:tcPr>
          <w:p w14:paraId="744048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均依法依规按程序实施</w:t>
            </w:r>
          </w:p>
        </w:tc>
        <w:tc>
          <w:tcPr>
            <w:tcW w:w="943" w:type="dxa"/>
            <w:noWrap w:val="0"/>
            <w:vAlign w:val="center"/>
          </w:tcPr>
          <w:p w14:paraId="541604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27" w:type="dxa"/>
            <w:noWrap w:val="0"/>
            <w:vAlign w:val="center"/>
          </w:tcPr>
          <w:p w14:paraId="57B7A5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82" w:type="dxa"/>
            <w:noWrap w:val="0"/>
            <w:vAlign w:val="center"/>
          </w:tcPr>
          <w:p w14:paraId="6C9A69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94E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4C965985">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596954EC">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2AD56D58">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7F7758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投诉处理</w:t>
            </w:r>
          </w:p>
        </w:tc>
        <w:tc>
          <w:tcPr>
            <w:tcW w:w="1123" w:type="dxa"/>
            <w:noWrap w:val="0"/>
            <w:vAlign w:val="center"/>
          </w:tcPr>
          <w:p w14:paraId="71E49D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及时有效处理回复</w:t>
            </w:r>
          </w:p>
        </w:tc>
        <w:tc>
          <w:tcPr>
            <w:tcW w:w="1093" w:type="dxa"/>
            <w:noWrap w:val="0"/>
            <w:vAlign w:val="center"/>
          </w:tcPr>
          <w:p w14:paraId="674051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均</w:t>
            </w:r>
            <w:r>
              <w:rPr>
                <w:rFonts w:hint="eastAsia" w:ascii="仿宋_GB2312" w:hAnsi="仿宋_GB2312" w:eastAsia="仿宋_GB2312" w:cs="仿宋_GB2312"/>
                <w:color w:val="000000"/>
                <w:sz w:val="20"/>
                <w:szCs w:val="20"/>
                <w:highlight w:val="none"/>
              </w:rPr>
              <w:t>及时有效处理回复</w:t>
            </w:r>
          </w:p>
        </w:tc>
        <w:tc>
          <w:tcPr>
            <w:tcW w:w="943" w:type="dxa"/>
            <w:noWrap w:val="0"/>
            <w:vAlign w:val="center"/>
          </w:tcPr>
          <w:p w14:paraId="3EEC88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27" w:type="dxa"/>
            <w:noWrap w:val="0"/>
            <w:vAlign w:val="center"/>
          </w:tcPr>
          <w:p w14:paraId="40730D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82" w:type="dxa"/>
            <w:noWrap w:val="0"/>
            <w:vAlign w:val="center"/>
          </w:tcPr>
          <w:p w14:paraId="5B0F8A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178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43E652C8">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6A2CC57A">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06D404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4F19B1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文明执法</w:t>
            </w:r>
          </w:p>
        </w:tc>
        <w:tc>
          <w:tcPr>
            <w:tcW w:w="1123" w:type="dxa"/>
            <w:noWrap w:val="0"/>
            <w:vAlign w:val="center"/>
          </w:tcPr>
          <w:p w14:paraId="00D908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文明执法，无违规投诉案件</w:t>
            </w:r>
          </w:p>
        </w:tc>
        <w:tc>
          <w:tcPr>
            <w:tcW w:w="1093" w:type="dxa"/>
            <w:noWrap w:val="0"/>
            <w:vAlign w:val="center"/>
          </w:tcPr>
          <w:p w14:paraId="3F1260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全年无违规投诉</w:t>
            </w:r>
          </w:p>
        </w:tc>
        <w:tc>
          <w:tcPr>
            <w:tcW w:w="943" w:type="dxa"/>
            <w:noWrap w:val="0"/>
            <w:vAlign w:val="center"/>
          </w:tcPr>
          <w:p w14:paraId="1D48DB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6F88E4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5E80E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458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2C461D80">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20B97FBA">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restart"/>
            <w:noWrap w:val="0"/>
            <w:vAlign w:val="center"/>
          </w:tcPr>
          <w:p w14:paraId="6C5CC3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197" w:type="dxa"/>
            <w:noWrap w:val="0"/>
            <w:vAlign w:val="center"/>
          </w:tcPr>
          <w:p w14:paraId="433CAA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按时完成</w:t>
            </w:r>
          </w:p>
        </w:tc>
        <w:tc>
          <w:tcPr>
            <w:tcW w:w="1123" w:type="dxa"/>
            <w:noWrap w:val="0"/>
            <w:vAlign w:val="center"/>
          </w:tcPr>
          <w:p w14:paraId="2396F2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按年度工作计划实施</w:t>
            </w:r>
            <w:r>
              <w:rPr>
                <w:rFonts w:hint="eastAsia" w:ascii="仿宋_GB2312" w:hAnsi="仿宋_GB2312" w:eastAsia="仿宋_GB2312" w:cs="仿宋_GB2312"/>
                <w:color w:val="000000"/>
                <w:sz w:val="20"/>
                <w:szCs w:val="20"/>
                <w:highlight w:val="none"/>
              </w:rPr>
              <w:t>　</w:t>
            </w:r>
          </w:p>
        </w:tc>
        <w:tc>
          <w:tcPr>
            <w:tcW w:w="1093" w:type="dxa"/>
            <w:noWrap w:val="0"/>
            <w:vAlign w:val="center"/>
          </w:tcPr>
          <w:p w14:paraId="2D2AC0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均如期完成</w:t>
            </w:r>
          </w:p>
        </w:tc>
        <w:tc>
          <w:tcPr>
            <w:tcW w:w="943" w:type="dxa"/>
            <w:noWrap w:val="0"/>
            <w:vAlign w:val="center"/>
          </w:tcPr>
          <w:p w14:paraId="30DDA2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66C605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4F15F5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318E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4F044EF2">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58C387C1">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3E0AC7CA">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00E367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投诉案件处置时效</w:t>
            </w:r>
          </w:p>
        </w:tc>
        <w:tc>
          <w:tcPr>
            <w:tcW w:w="1123" w:type="dxa"/>
            <w:noWrap w:val="0"/>
            <w:vAlign w:val="center"/>
          </w:tcPr>
          <w:p w14:paraId="28EFA1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在规定时间内处置</w:t>
            </w:r>
          </w:p>
        </w:tc>
        <w:tc>
          <w:tcPr>
            <w:tcW w:w="1093" w:type="dxa"/>
            <w:noWrap w:val="0"/>
            <w:vAlign w:val="center"/>
          </w:tcPr>
          <w:p w14:paraId="36D9B9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lang w:val="en-US" w:eastAsia="zh-CN"/>
              </w:rPr>
              <w:t>均在规定时限内办结</w:t>
            </w:r>
          </w:p>
        </w:tc>
        <w:tc>
          <w:tcPr>
            <w:tcW w:w="943" w:type="dxa"/>
            <w:noWrap w:val="0"/>
            <w:vAlign w:val="center"/>
          </w:tcPr>
          <w:p w14:paraId="045054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7F5785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6C3EB4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439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077" w:type="dxa"/>
            <w:vMerge w:val="continue"/>
            <w:noWrap w:val="0"/>
            <w:vAlign w:val="center"/>
          </w:tcPr>
          <w:p w14:paraId="7DF67C1E">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7902BD00">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restart"/>
            <w:noWrap w:val="0"/>
            <w:vAlign w:val="center"/>
          </w:tcPr>
          <w:p w14:paraId="1EF503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197" w:type="dxa"/>
            <w:noWrap w:val="0"/>
            <w:vAlign w:val="center"/>
          </w:tcPr>
          <w:p w14:paraId="35DD76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项目实施成本</w:t>
            </w:r>
          </w:p>
        </w:tc>
        <w:tc>
          <w:tcPr>
            <w:tcW w:w="1123" w:type="dxa"/>
            <w:noWrap w:val="0"/>
            <w:vAlign w:val="center"/>
          </w:tcPr>
          <w:p w14:paraId="674FAC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控制在</w:t>
            </w:r>
            <w:r>
              <w:rPr>
                <w:rFonts w:hint="eastAsia" w:ascii="仿宋_GB2312" w:hAnsi="仿宋_GB2312" w:eastAsia="仿宋_GB2312" w:cs="仿宋_GB2312"/>
                <w:color w:val="000000"/>
                <w:sz w:val="20"/>
                <w:szCs w:val="20"/>
                <w:highlight w:val="none"/>
                <w:lang w:val="en-US" w:eastAsia="zh-CN"/>
              </w:rPr>
              <w:t>预算金额内</w:t>
            </w:r>
            <w:r>
              <w:rPr>
                <w:rFonts w:hint="eastAsia" w:ascii="仿宋_GB2312" w:hAnsi="仿宋_GB2312" w:eastAsia="仿宋_GB2312" w:cs="仿宋_GB2312"/>
                <w:color w:val="000000"/>
                <w:sz w:val="20"/>
                <w:szCs w:val="20"/>
                <w:highlight w:val="none"/>
              </w:rPr>
              <w:t>　</w:t>
            </w:r>
          </w:p>
        </w:tc>
        <w:tc>
          <w:tcPr>
            <w:tcW w:w="1093" w:type="dxa"/>
            <w:noWrap w:val="0"/>
            <w:vAlign w:val="center"/>
          </w:tcPr>
          <w:p w14:paraId="3AFD72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未超预算</w:t>
            </w:r>
          </w:p>
        </w:tc>
        <w:tc>
          <w:tcPr>
            <w:tcW w:w="943" w:type="dxa"/>
            <w:noWrap w:val="0"/>
            <w:vAlign w:val="center"/>
          </w:tcPr>
          <w:p w14:paraId="4BE34D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27" w:type="dxa"/>
            <w:noWrap w:val="0"/>
            <w:vAlign w:val="center"/>
          </w:tcPr>
          <w:p w14:paraId="216860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82" w:type="dxa"/>
            <w:noWrap w:val="0"/>
            <w:vAlign w:val="center"/>
          </w:tcPr>
          <w:p w14:paraId="373E53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1EE59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077" w:type="dxa"/>
            <w:vMerge w:val="continue"/>
            <w:noWrap w:val="0"/>
            <w:vAlign w:val="center"/>
          </w:tcPr>
          <w:p w14:paraId="118578CB">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79323252">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7509927B">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0C6191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iCs w:val="0"/>
                <w:color w:val="000000"/>
                <w:kern w:val="0"/>
                <w:sz w:val="20"/>
                <w:szCs w:val="20"/>
                <w:u w:val="none"/>
                <w:lang w:val="en-US" w:eastAsia="zh-CN" w:bidi="ar"/>
              </w:rPr>
              <w:t>对社会发展造成负面影响</w:t>
            </w:r>
          </w:p>
        </w:tc>
        <w:tc>
          <w:tcPr>
            <w:tcW w:w="1123" w:type="dxa"/>
            <w:noWrap w:val="0"/>
            <w:vAlign w:val="center"/>
          </w:tcPr>
          <w:p w14:paraId="4FD19C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1093" w:type="dxa"/>
            <w:noWrap w:val="0"/>
            <w:vAlign w:val="center"/>
          </w:tcPr>
          <w:p w14:paraId="6CD8B6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943" w:type="dxa"/>
            <w:noWrap w:val="0"/>
            <w:vAlign w:val="center"/>
          </w:tcPr>
          <w:p w14:paraId="50AFB6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27" w:type="dxa"/>
            <w:noWrap w:val="0"/>
            <w:vAlign w:val="center"/>
          </w:tcPr>
          <w:p w14:paraId="3FF6F1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82" w:type="dxa"/>
            <w:noWrap w:val="0"/>
            <w:vAlign w:val="center"/>
          </w:tcPr>
          <w:p w14:paraId="396301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22C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2C32065C">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169B99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036A78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2910719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iCs w:val="0"/>
                <w:color w:val="000000"/>
                <w:kern w:val="0"/>
                <w:sz w:val="20"/>
                <w:szCs w:val="20"/>
                <w:u w:val="none"/>
                <w:lang w:val="en-US" w:eastAsia="zh-CN" w:bidi="ar"/>
              </w:rPr>
              <w:t>对生态环境造成负面影响</w:t>
            </w:r>
          </w:p>
        </w:tc>
        <w:tc>
          <w:tcPr>
            <w:tcW w:w="1123" w:type="dxa"/>
            <w:noWrap w:val="0"/>
            <w:vAlign w:val="center"/>
          </w:tcPr>
          <w:p w14:paraId="2566F0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1093" w:type="dxa"/>
            <w:noWrap w:val="0"/>
            <w:vAlign w:val="center"/>
          </w:tcPr>
          <w:p w14:paraId="30A55A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943" w:type="dxa"/>
            <w:noWrap w:val="0"/>
            <w:vAlign w:val="center"/>
          </w:tcPr>
          <w:p w14:paraId="59E5C1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27" w:type="dxa"/>
            <w:noWrap w:val="0"/>
            <w:vAlign w:val="center"/>
          </w:tcPr>
          <w:p w14:paraId="3A3F82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3</w:t>
            </w:r>
          </w:p>
        </w:tc>
        <w:tc>
          <w:tcPr>
            <w:tcW w:w="1482" w:type="dxa"/>
            <w:noWrap w:val="0"/>
            <w:vAlign w:val="center"/>
          </w:tcPr>
          <w:p w14:paraId="6DDF93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1F60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3D71CACC">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restart"/>
            <w:noWrap w:val="0"/>
            <w:vAlign w:val="center"/>
          </w:tcPr>
          <w:p w14:paraId="0B5F5F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14:paraId="20A4B7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p w14:paraId="622072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14:paraId="13D957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1" w:type="dxa"/>
            <w:vMerge w:val="restart"/>
            <w:noWrap w:val="0"/>
            <w:vAlign w:val="center"/>
          </w:tcPr>
          <w:p w14:paraId="350CF6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经济效</w:t>
            </w:r>
          </w:p>
          <w:p w14:paraId="18B239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highlight w:val="none"/>
              </w:rPr>
              <w:t>益指标</w:t>
            </w:r>
          </w:p>
        </w:tc>
        <w:tc>
          <w:tcPr>
            <w:tcW w:w="1197" w:type="dxa"/>
            <w:noWrap w:val="0"/>
            <w:vAlign w:val="center"/>
          </w:tcPr>
          <w:p w14:paraId="3D162A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color w:val="auto"/>
                <w:sz w:val="20"/>
                <w:szCs w:val="20"/>
                <w:lang w:val="en-US" w:eastAsia="zh-CN"/>
              </w:rPr>
              <w:t>产生一定的间接经济效益</w:t>
            </w:r>
          </w:p>
        </w:tc>
        <w:tc>
          <w:tcPr>
            <w:tcW w:w="1123" w:type="dxa"/>
            <w:noWrap w:val="0"/>
            <w:vAlign w:val="center"/>
          </w:tcPr>
          <w:p w14:paraId="6BE2D13C">
            <w:pPr>
              <w:keepNext w:val="0"/>
              <w:keepLines w:val="0"/>
              <w:pageBreakBefore w:val="0"/>
              <w:widowControl/>
              <w:numPr>
                <w:ilvl w:val="0"/>
                <w:numId w:val="0"/>
              </w:numPr>
              <w:kinsoku/>
              <w:wordWrap/>
              <w:overflowPunct/>
              <w:topLinePunct w:val="0"/>
              <w:autoSpaceDE/>
              <w:autoSpaceDN/>
              <w:bidi w:val="0"/>
              <w:adjustRightInd/>
              <w:snapToGrid/>
              <w:spacing w:line="280" w:lineRule="exact"/>
              <w:ind w:left="0" w:leftChars="0" w:firstLine="0" w:firstLineChars="0"/>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lang w:val="en-US" w:eastAsia="zh-CN"/>
              </w:rPr>
              <w:t>在一定程度上降低城市治理费用</w:t>
            </w:r>
          </w:p>
        </w:tc>
        <w:tc>
          <w:tcPr>
            <w:tcW w:w="1093" w:type="dxa"/>
            <w:noWrap w:val="0"/>
            <w:vAlign w:val="center"/>
          </w:tcPr>
          <w:p w14:paraId="6FB7F8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color w:val="auto"/>
                <w:sz w:val="20"/>
                <w:szCs w:val="20"/>
                <w:lang w:val="en-US" w:eastAsia="zh-CN"/>
              </w:rPr>
              <w:t>加强了</w:t>
            </w:r>
            <w:r>
              <w:rPr>
                <w:rFonts w:hint="eastAsia" w:ascii="仿宋_GB2312" w:hAnsi="仿宋_GB2312" w:eastAsia="仿宋_GB2312" w:cs="仿宋_GB2312"/>
                <w:color w:val="auto"/>
                <w:sz w:val="20"/>
                <w:szCs w:val="20"/>
                <w:lang w:val="en-US" w:eastAsia="zh-CN"/>
              </w:rPr>
              <w:t>扬尘治理，间接减少了环境治理费用</w:t>
            </w:r>
          </w:p>
        </w:tc>
        <w:tc>
          <w:tcPr>
            <w:tcW w:w="943" w:type="dxa"/>
            <w:noWrap w:val="0"/>
            <w:vAlign w:val="center"/>
          </w:tcPr>
          <w:p w14:paraId="1303C2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27" w:type="dxa"/>
            <w:noWrap w:val="0"/>
            <w:vAlign w:val="center"/>
          </w:tcPr>
          <w:p w14:paraId="540B23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82" w:type="dxa"/>
            <w:noWrap w:val="0"/>
            <w:vAlign w:val="center"/>
          </w:tcPr>
          <w:p w14:paraId="39F0BF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862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34F689E1">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3B918DF9">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644AD148">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7E1BC4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产生一定的罚没收入</w:t>
            </w:r>
          </w:p>
        </w:tc>
        <w:tc>
          <w:tcPr>
            <w:tcW w:w="1123" w:type="dxa"/>
            <w:noWrap w:val="0"/>
            <w:vAlign w:val="center"/>
          </w:tcPr>
          <w:p w14:paraId="576F2E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lang w:val="en-US" w:eastAsia="zh-CN"/>
              </w:rPr>
              <w:t>完成非税收入征收计划</w:t>
            </w:r>
          </w:p>
        </w:tc>
        <w:tc>
          <w:tcPr>
            <w:tcW w:w="1093" w:type="dxa"/>
            <w:noWrap w:val="0"/>
            <w:vAlign w:val="center"/>
          </w:tcPr>
          <w:p w14:paraId="5794C6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 w:eastAsia="zh-CN"/>
              </w:rPr>
            </w:pPr>
            <w:r>
              <w:rPr>
                <w:rFonts w:hint="eastAsia" w:ascii="仿宋_GB2312" w:hAnsi="仿宋_GB2312" w:eastAsia="仿宋_GB2312" w:cs="仿宋_GB2312"/>
                <w:color w:val="000000"/>
                <w:sz w:val="20"/>
                <w:szCs w:val="20"/>
                <w:highlight w:val="none"/>
                <w:lang w:val="en" w:eastAsia="zh-CN"/>
              </w:rPr>
              <w:t>完成了年度非税收入计划</w:t>
            </w:r>
          </w:p>
        </w:tc>
        <w:tc>
          <w:tcPr>
            <w:tcW w:w="943" w:type="dxa"/>
            <w:noWrap w:val="0"/>
            <w:vAlign w:val="center"/>
          </w:tcPr>
          <w:p w14:paraId="3FB339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27" w:type="dxa"/>
            <w:noWrap w:val="0"/>
            <w:vAlign w:val="center"/>
          </w:tcPr>
          <w:p w14:paraId="485D17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82" w:type="dxa"/>
            <w:noWrap w:val="0"/>
            <w:vAlign w:val="center"/>
          </w:tcPr>
          <w:p w14:paraId="384DB4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070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1785137D">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08A07671">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restart"/>
            <w:noWrap w:val="0"/>
            <w:vAlign w:val="center"/>
          </w:tcPr>
          <w:p w14:paraId="23A4AD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14:paraId="6C9372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197" w:type="dxa"/>
            <w:noWrap w:val="0"/>
            <w:vAlign w:val="center"/>
          </w:tcPr>
          <w:p w14:paraId="317939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rPr>
              <w:t>服务市民，助力国家卫生城市、文明城市</w:t>
            </w:r>
            <w:r>
              <w:rPr>
                <w:rFonts w:hint="eastAsia" w:ascii="仿宋_GB2312" w:hAnsi="仿宋_GB2312" w:eastAsia="仿宋_GB2312" w:cs="仿宋_GB2312"/>
                <w:color w:val="000000"/>
                <w:sz w:val="20"/>
                <w:szCs w:val="20"/>
                <w:lang w:eastAsia="zh-CN"/>
              </w:rPr>
              <w:t>建设</w:t>
            </w:r>
          </w:p>
        </w:tc>
        <w:tc>
          <w:tcPr>
            <w:tcW w:w="1123" w:type="dxa"/>
            <w:noWrap w:val="0"/>
            <w:vAlign w:val="center"/>
          </w:tcPr>
          <w:p w14:paraId="6F67A3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服务市民，助力国家卫生城市、文明城市</w:t>
            </w:r>
            <w:r>
              <w:rPr>
                <w:rFonts w:hint="eastAsia" w:ascii="仿宋_GB2312" w:hAnsi="仿宋_GB2312" w:eastAsia="仿宋_GB2312" w:cs="仿宋_GB2312"/>
                <w:color w:val="000000"/>
                <w:sz w:val="20"/>
                <w:szCs w:val="20"/>
                <w:lang w:eastAsia="zh-CN"/>
              </w:rPr>
              <w:t>建设</w:t>
            </w:r>
          </w:p>
        </w:tc>
        <w:tc>
          <w:tcPr>
            <w:tcW w:w="1093" w:type="dxa"/>
            <w:noWrap w:val="0"/>
            <w:vAlign w:val="center"/>
          </w:tcPr>
          <w:p w14:paraId="33DDE9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为</w:t>
            </w:r>
            <w:r>
              <w:rPr>
                <w:rFonts w:hint="eastAsia" w:ascii="仿宋_GB2312" w:hAnsi="仿宋_GB2312" w:eastAsia="仿宋_GB2312" w:cs="仿宋_GB2312"/>
                <w:color w:val="000000"/>
                <w:sz w:val="20"/>
                <w:szCs w:val="20"/>
              </w:rPr>
              <w:t>国家卫生城市、文明城市</w:t>
            </w:r>
            <w:r>
              <w:rPr>
                <w:rFonts w:hint="eastAsia" w:ascii="仿宋_GB2312" w:hAnsi="仿宋_GB2312" w:eastAsia="仿宋_GB2312" w:cs="仿宋_GB2312"/>
                <w:color w:val="000000"/>
                <w:sz w:val="20"/>
                <w:szCs w:val="20"/>
                <w:lang w:eastAsia="zh-CN"/>
              </w:rPr>
              <w:t>建设奠定了基础</w:t>
            </w:r>
          </w:p>
        </w:tc>
        <w:tc>
          <w:tcPr>
            <w:tcW w:w="943" w:type="dxa"/>
            <w:noWrap w:val="0"/>
            <w:vAlign w:val="center"/>
          </w:tcPr>
          <w:p w14:paraId="283993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11FE45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71539E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3FE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24D30A0D">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0BEC52A0">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783CEA71">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6CFAC0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提升城市整体形象</w:t>
            </w:r>
          </w:p>
        </w:tc>
        <w:tc>
          <w:tcPr>
            <w:tcW w:w="1123" w:type="dxa"/>
            <w:noWrap w:val="0"/>
            <w:vAlign w:val="center"/>
          </w:tcPr>
          <w:p w14:paraId="591661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lang w:val="en-US" w:eastAsia="zh-CN"/>
              </w:rPr>
              <w:t>加强市容市貌管理</w:t>
            </w:r>
          </w:p>
        </w:tc>
        <w:tc>
          <w:tcPr>
            <w:tcW w:w="1093" w:type="dxa"/>
            <w:noWrap w:val="0"/>
            <w:vAlign w:val="center"/>
          </w:tcPr>
          <w:p w14:paraId="11164D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城市整体形象不断提升，改善了市民居住环境。</w:t>
            </w:r>
          </w:p>
        </w:tc>
        <w:tc>
          <w:tcPr>
            <w:tcW w:w="943" w:type="dxa"/>
            <w:noWrap w:val="0"/>
            <w:vAlign w:val="center"/>
          </w:tcPr>
          <w:p w14:paraId="205921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784B6A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35D533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777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1611D09F">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694C5367">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restart"/>
            <w:noWrap w:val="0"/>
            <w:vAlign w:val="center"/>
          </w:tcPr>
          <w:p w14:paraId="01B684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14:paraId="27D33C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197" w:type="dxa"/>
            <w:noWrap w:val="0"/>
            <w:vAlign w:val="center"/>
          </w:tcPr>
          <w:p w14:paraId="069B7B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城区扬尘治理</w:t>
            </w:r>
          </w:p>
        </w:tc>
        <w:tc>
          <w:tcPr>
            <w:tcW w:w="1123" w:type="dxa"/>
            <w:noWrap w:val="0"/>
            <w:vAlign w:val="center"/>
          </w:tcPr>
          <w:p w14:paraId="50E852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lang w:eastAsia="zh-CN"/>
              </w:rPr>
              <w:t>基建场地污染源整治，</w:t>
            </w:r>
            <w:r>
              <w:rPr>
                <w:rFonts w:hint="eastAsia" w:ascii="仿宋_GB2312" w:hAnsi="仿宋_GB2312" w:eastAsia="仿宋_GB2312" w:cs="仿宋_GB2312"/>
                <w:sz w:val="20"/>
                <w:szCs w:val="20"/>
                <w:lang w:val="en-US" w:eastAsia="zh-CN"/>
              </w:rPr>
              <w:t>有效改善城市环境。</w:t>
            </w:r>
          </w:p>
        </w:tc>
        <w:tc>
          <w:tcPr>
            <w:tcW w:w="1093" w:type="dxa"/>
            <w:noWrap w:val="0"/>
            <w:vAlign w:val="center"/>
          </w:tcPr>
          <w:p w14:paraId="2D4B4A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sz w:val="20"/>
                <w:szCs w:val="20"/>
              </w:rPr>
              <w:t>严格管控污染源</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减少了城市污染源。</w:t>
            </w:r>
          </w:p>
        </w:tc>
        <w:tc>
          <w:tcPr>
            <w:tcW w:w="943" w:type="dxa"/>
            <w:noWrap w:val="0"/>
            <w:vAlign w:val="center"/>
          </w:tcPr>
          <w:p w14:paraId="6F6202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6A9FAD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82" w:type="dxa"/>
            <w:noWrap w:val="0"/>
            <w:vAlign w:val="center"/>
          </w:tcPr>
          <w:p w14:paraId="698B63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lang w:val="en-US" w:eastAsia="zh-CN"/>
              </w:rPr>
              <w:t>部分</w:t>
            </w:r>
            <w:r>
              <w:rPr>
                <w:rFonts w:hint="eastAsia" w:ascii="仿宋_GB2312" w:hAnsi="仿宋_GB2312" w:eastAsia="仿宋_GB2312" w:cs="仿宋_GB2312"/>
                <w:sz w:val="20"/>
                <w:szCs w:val="20"/>
                <w:lang w:eastAsia="zh-CN"/>
              </w:rPr>
              <w:t>基建场地</w:t>
            </w:r>
            <w:r>
              <w:rPr>
                <w:rFonts w:hint="eastAsia" w:ascii="仿宋_GB2312" w:hAnsi="仿宋_GB2312" w:eastAsia="仿宋_GB2312" w:cs="仿宋_GB2312"/>
                <w:color w:val="000000"/>
                <w:sz w:val="20"/>
                <w:szCs w:val="20"/>
                <w:lang w:val="en-US" w:eastAsia="zh-CN"/>
              </w:rPr>
              <w:t>扬尘治理有待加强监管，下一步加强巡查，切实管控好污染源。</w:t>
            </w:r>
          </w:p>
        </w:tc>
      </w:tr>
      <w:tr w14:paraId="197B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19F29B84">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630B4080">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vMerge w:val="continue"/>
            <w:noWrap w:val="0"/>
            <w:vAlign w:val="center"/>
          </w:tcPr>
          <w:p w14:paraId="088DA885">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197" w:type="dxa"/>
            <w:noWrap w:val="0"/>
            <w:vAlign w:val="center"/>
          </w:tcPr>
          <w:p w14:paraId="7251D8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lang w:val="en-US" w:eastAsia="zh-CN"/>
              </w:rPr>
              <w:t>营造秀美、整洁、安宁的城市环境</w:t>
            </w:r>
          </w:p>
        </w:tc>
        <w:tc>
          <w:tcPr>
            <w:tcW w:w="1123" w:type="dxa"/>
            <w:noWrap w:val="0"/>
            <w:vAlign w:val="center"/>
          </w:tcPr>
          <w:p w14:paraId="60A9D2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改善人居环境，营造秀美、整洁、安宁的城市环境</w:t>
            </w:r>
          </w:p>
        </w:tc>
        <w:tc>
          <w:tcPr>
            <w:tcW w:w="1093" w:type="dxa"/>
            <w:noWrap w:val="0"/>
            <w:vAlign w:val="center"/>
          </w:tcPr>
          <w:p w14:paraId="73ADEF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市容秩序</w:t>
            </w:r>
            <w:r>
              <w:rPr>
                <w:rFonts w:hint="eastAsia" w:ascii="仿宋_GB2312" w:hAnsi="仿宋_GB2312" w:eastAsia="仿宋_GB2312" w:cs="仿宋_GB2312"/>
                <w:color w:val="000000"/>
                <w:sz w:val="20"/>
                <w:szCs w:val="20"/>
                <w:lang w:eastAsia="zh-CN"/>
              </w:rPr>
              <w:t>、</w:t>
            </w:r>
            <w:r>
              <w:rPr>
                <w:rFonts w:hint="eastAsia" w:ascii="仿宋_GB2312" w:hAnsi="仿宋_GB2312" w:eastAsia="仿宋_GB2312" w:cs="仿宋_GB2312"/>
                <w:color w:val="000000"/>
                <w:sz w:val="20"/>
                <w:szCs w:val="20"/>
              </w:rPr>
              <w:t>环境</w:t>
            </w:r>
            <w:r>
              <w:rPr>
                <w:rFonts w:hint="eastAsia" w:ascii="仿宋_GB2312" w:hAnsi="仿宋_GB2312" w:eastAsia="仿宋_GB2312" w:cs="仿宋_GB2312"/>
                <w:color w:val="000000"/>
                <w:sz w:val="20"/>
                <w:szCs w:val="20"/>
                <w:lang w:val="en-US" w:eastAsia="zh-CN"/>
              </w:rPr>
              <w:t>不断提升</w:t>
            </w:r>
          </w:p>
        </w:tc>
        <w:tc>
          <w:tcPr>
            <w:tcW w:w="943" w:type="dxa"/>
            <w:noWrap w:val="0"/>
            <w:vAlign w:val="center"/>
          </w:tcPr>
          <w:p w14:paraId="73677A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0974EA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18ACC5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AE1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33D1BE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p>
        </w:tc>
        <w:tc>
          <w:tcPr>
            <w:tcW w:w="1078" w:type="dxa"/>
            <w:vMerge w:val="continue"/>
            <w:noWrap w:val="0"/>
            <w:vAlign w:val="center"/>
          </w:tcPr>
          <w:p w14:paraId="17D55F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31" w:type="dxa"/>
            <w:noWrap w:val="0"/>
            <w:vAlign w:val="center"/>
          </w:tcPr>
          <w:p w14:paraId="59506A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197" w:type="dxa"/>
            <w:noWrap w:val="0"/>
            <w:vAlign w:val="center"/>
          </w:tcPr>
          <w:p w14:paraId="5763C4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进一步建立健全城管执法机制，助力省域副中心城市建设</w:t>
            </w:r>
          </w:p>
        </w:tc>
        <w:tc>
          <w:tcPr>
            <w:tcW w:w="1123" w:type="dxa"/>
            <w:noWrap w:val="0"/>
            <w:vAlign w:val="center"/>
          </w:tcPr>
          <w:p w14:paraId="43F65A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进一步建立健全城管执法机制，助力省域副中心城市建设</w:t>
            </w:r>
          </w:p>
        </w:tc>
        <w:tc>
          <w:tcPr>
            <w:tcW w:w="1093" w:type="dxa"/>
            <w:noWrap w:val="0"/>
            <w:vAlign w:val="center"/>
          </w:tcPr>
          <w:p w14:paraId="06BA55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有效</w:t>
            </w:r>
            <w:r>
              <w:rPr>
                <w:rFonts w:hint="eastAsia" w:ascii="仿宋_GB2312" w:hAnsi="仿宋_GB2312" w:eastAsia="仿宋_GB2312" w:cs="仿宋_GB2312"/>
                <w:color w:val="000000"/>
                <w:sz w:val="20"/>
                <w:szCs w:val="20"/>
              </w:rPr>
              <w:t>助力</w:t>
            </w:r>
            <w:r>
              <w:rPr>
                <w:rFonts w:hint="eastAsia" w:ascii="仿宋_GB2312" w:hAnsi="仿宋_GB2312" w:eastAsia="仿宋_GB2312" w:cs="仿宋_GB2312"/>
                <w:color w:val="000000"/>
                <w:sz w:val="20"/>
                <w:szCs w:val="20"/>
                <w:lang w:eastAsia="zh-CN"/>
              </w:rPr>
              <w:t>了</w:t>
            </w:r>
            <w:r>
              <w:rPr>
                <w:rFonts w:hint="eastAsia" w:ascii="仿宋_GB2312" w:hAnsi="仿宋_GB2312" w:eastAsia="仿宋_GB2312" w:cs="仿宋_GB2312"/>
                <w:color w:val="000000"/>
                <w:sz w:val="20"/>
                <w:szCs w:val="20"/>
              </w:rPr>
              <w:t>省域副中心城市建设</w:t>
            </w:r>
          </w:p>
        </w:tc>
        <w:tc>
          <w:tcPr>
            <w:tcW w:w="943" w:type="dxa"/>
            <w:noWrap w:val="0"/>
            <w:vAlign w:val="center"/>
          </w:tcPr>
          <w:p w14:paraId="7C96E1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27" w:type="dxa"/>
            <w:noWrap w:val="0"/>
            <w:vAlign w:val="center"/>
          </w:tcPr>
          <w:p w14:paraId="363C03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82" w:type="dxa"/>
            <w:noWrap w:val="0"/>
            <w:vAlign w:val="center"/>
          </w:tcPr>
          <w:p w14:paraId="664AE3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BDE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vMerge w:val="continue"/>
            <w:noWrap w:val="0"/>
            <w:vAlign w:val="center"/>
          </w:tcPr>
          <w:p w14:paraId="29C6A8F0">
            <w:pPr>
              <w:keepNext w:val="0"/>
              <w:keepLines w:val="0"/>
              <w:pageBreakBefore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p>
        </w:tc>
        <w:tc>
          <w:tcPr>
            <w:tcW w:w="1078" w:type="dxa"/>
            <w:noWrap w:val="0"/>
            <w:vAlign w:val="center"/>
          </w:tcPr>
          <w:p w14:paraId="0AE0CB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14:paraId="1B8E36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14:paraId="0359A2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1" w:type="dxa"/>
            <w:noWrap w:val="0"/>
            <w:vAlign w:val="center"/>
          </w:tcPr>
          <w:p w14:paraId="59D2FE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197" w:type="dxa"/>
            <w:noWrap w:val="0"/>
            <w:vAlign w:val="center"/>
          </w:tcPr>
          <w:p w14:paraId="61D247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w:t>
            </w:r>
          </w:p>
        </w:tc>
        <w:tc>
          <w:tcPr>
            <w:tcW w:w="1123" w:type="dxa"/>
            <w:noWrap w:val="0"/>
            <w:vAlign w:val="center"/>
          </w:tcPr>
          <w:p w14:paraId="0A97C3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≥95</w:t>
            </w:r>
            <w:r>
              <w:rPr>
                <w:rFonts w:hint="eastAsia" w:ascii="仿宋_GB2312" w:hAnsi="仿宋_GB2312" w:eastAsia="仿宋_GB2312" w:cs="仿宋_GB2312"/>
                <w:color w:val="000000"/>
                <w:sz w:val="20"/>
                <w:szCs w:val="20"/>
                <w:highlight w:val="none"/>
                <w:lang w:val="en-US" w:eastAsia="zh-CN"/>
              </w:rPr>
              <w:t>%</w:t>
            </w:r>
          </w:p>
        </w:tc>
        <w:tc>
          <w:tcPr>
            <w:tcW w:w="1093" w:type="dxa"/>
            <w:noWrap w:val="0"/>
            <w:vAlign w:val="center"/>
          </w:tcPr>
          <w:p w14:paraId="263072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97%</w:t>
            </w:r>
          </w:p>
        </w:tc>
        <w:tc>
          <w:tcPr>
            <w:tcW w:w="943" w:type="dxa"/>
            <w:noWrap w:val="0"/>
            <w:vAlign w:val="center"/>
          </w:tcPr>
          <w:p w14:paraId="0A63B3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27" w:type="dxa"/>
            <w:noWrap w:val="0"/>
            <w:vAlign w:val="center"/>
          </w:tcPr>
          <w:p w14:paraId="640505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82" w:type="dxa"/>
            <w:noWrap w:val="0"/>
            <w:vAlign w:val="center"/>
          </w:tcPr>
          <w:p w14:paraId="4A5A97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6B5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6599" w:type="dxa"/>
            <w:gridSpan w:val="6"/>
            <w:noWrap w:val="0"/>
            <w:vAlign w:val="center"/>
          </w:tcPr>
          <w:p w14:paraId="0D140B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943" w:type="dxa"/>
            <w:noWrap w:val="0"/>
            <w:vAlign w:val="center"/>
          </w:tcPr>
          <w:p w14:paraId="184B65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27" w:type="dxa"/>
            <w:noWrap w:val="0"/>
            <w:vAlign w:val="center"/>
          </w:tcPr>
          <w:p w14:paraId="7C779A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99</w:t>
            </w:r>
          </w:p>
        </w:tc>
        <w:tc>
          <w:tcPr>
            <w:tcW w:w="1482" w:type="dxa"/>
            <w:noWrap w:val="0"/>
            <w:vAlign w:val="center"/>
          </w:tcPr>
          <w:p w14:paraId="174CBD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14:paraId="2ECF0ACC">
      <w:pPr>
        <w:widowControl/>
        <w:spacing w:line="600" w:lineRule="exact"/>
        <w:jc w:val="left"/>
        <w:rPr>
          <w:rFonts w:hint="eastAsia" w:ascii="CESI仿宋-GB2312" w:hAnsi="CESI仿宋-GB2312" w:eastAsia="CESI仿宋-GB2312" w:cs="CESI仿宋-GB2312"/>
          <w:color w:val="auto"/>
          <w:sz w:val="22"/>
          <w:szCs w:val="22"/>
          <w:lang w:eastAsia="zh-CN"/>
        </w:rPr>
      </w:pPr>
      <w:r>
        <w:rPr>
          <w:rFonts w:hint="eastAsia" w:ascii="CESI仿宋-GB2312" w:hAnsi="CESI仿宋-GB2312" w:eastAsia="CESI仿宋-GB2312" w:cs="CESI仿宋-GB2312"/>
          <w:sz w:val="22"/>
          <w:szCs w:val="22"/>
        </w:rPr>
        <w:t>填表人：</w:t>
      </w:r>
      <w:r>
        <w:rPr>
          <w:rFonts w:hint="eastAsia" w:ascii="CESI仿宋-GB2312" w:hAnsi="CESI仿宋-GB2312" w:eastAsia="CESI仿宋-GB2312" w:cs="CESI仿宋-GB2312"/>
          <w:color w:val="auto"/>
          <w:sz w:val="22"/>
          <w:szCs w:val="22"/>
          <w:lang w:val="en-US" w:eastAsia="zh-CN"/>
        </w:rPr>
        <w:t xml:space="preserve">徐建  </w:t>
      </w:r>
      <w:r>
        <w:rPr>
          <w:rFonts w:hint="eastAsia" w:ascii="CESI仿宋-GB2312" w:hAnsi="CESI仿宋-GB2312" w:eastAsia="CESI仿宋-GB2312" w:cs="CESI仿宋-GB2312"/>
          <w:sz w:val="22"/>
          <w:szCs w:val="22"/>
        </w:rPr>
        <w:t>填报日期：</w:t>
      </w:r>
      <w:r>
        <w:rPr>
          <w:rFonts w:hint="eastAsia" w:ascii="CESI仿宋-GB2312" w:hAnsi="CESI仿宋-GB2312" w:eastAsia="CESI仿宋-GB2312" w:cs="CESI仿宋-GB2312"/>
          <w:sz w:val="22"/>
          <w:szCs w:val="22"/>
          <w:lang w:val="en-US" w:eastAsia="zh-CN"/>
        </w:rPr>
        <w:t>2026.6.15</w:t>
      </w:r>
      <w:r>
        <w:rPr>
          <w:rFonts w:hint="eastAsia" w:ascii="CESI仿宋-GB2312" w:hAnsi="CESI仿宋-GB2312" w:eastAsia="CESI仿宋-GB2312" w:cs="CESI仿宋-GB2312"/>
          <w:sz w:val="22"/>
          <w:szCs w:val="22"/>
        </w:rPr>
        <w:t xml:space="preserve"> </w:t>
      </w:r>
      <w:r>
        <w:rPr>
          <w:rFonts w:hint="eastAsia" w:ascii="CESI仿宋-GB2312" w:hAnsi="CESI仿宋-GB2312" w:eastAsia="CESI仿宋-GB2312" w:cs="CESI仿宋-GB2312"/>
          <w:sz w:val="22"/>
          <w:szCs w:val="22"/>
          <w:lang w:val="en-US" w:eastAsia="zh-CN"/>
        </w:rPr>
        <w:t xml:space="preserve"> </w:t>
      </w:r>
      <w:r>
        <w:rPr>
          <w:rFonts w:hint="eastAsia" w:ascii="CESI仿宋-GB2312" w:hAnsi="CESI仿宋-GB2312" w:eastAsia="CESI仿宋-GB2312" w:cs="CESI仿宋-GB2312"/>
          <w:sz w:val="22"/>
          <w:szCs w:val="22"/>
        </w:rPr>
        <w:t>联系电话：</w:t>
      </w:r>
      <w:r>
        <w:rPr>
          <w:rFonts w:hint="eastAsia" w:ascii="CESI仿宋-GB2312" w:hAnsi="CESI仿宋-GB2312" w:eastAsia="CESI仿宋-GB2312" w:cs="CESI仿宋-GB2312"/>
          <w:sz w:val="22"/>
          <w:szCs w:val="22"/>
          <w:lang w:val="en-US" w:eastAsia="zh-CN"/>
        </w:rPr>
        <w:t>0730-8227298</w:t>
      </w:r>
      <w:r>
        <w:rPr>
          <w:rFonts w:hint="eastAsia" w:ascii="CESI仿宋-GB2312" w:hAnsi="CESI仿宋-GB2312" w:eastAsia="CESI仿宋-GB2312" w:cs="CESI仿宋-GB2312"/>
          <w:sz w:val="22"/>
          <w:szCs w:val="22"/>
        </w:rPr>
        <w:t xml:space="preserve"> </w:t>
      </w:r>
      <w:r>
        <w:rPr>
          <w:rFonts w:hint="eastAsia" w:ascii="CESI仿宋-GB2312" w:hAnsi="CESI仿宋-GB2312" w:eastAsia="CESI仿宋-GB2312" w:cs="CESI仿宋-GB2312"/>
          <w:sz w:val="22"/>
          <w:szCs w:val="22"/>
          <w:lang w:val="en-US" w:eastAsia="zh-CN"/>
        </w:rPr>
        <w:t xml:space="preserve"> </w:t>
      </w:r>
      <w:r>
        <w:rPr>
          <w:rFonts w:hint="eastAsia" w:ascii="CESI仿宋-GB2312" w:hAnsi="CESI仿宋-GB2312" w:eastAsia="CESI仿宋-GB2312" w:cs="CESI仿宋-GB2312"/>
          <w:sz w:val="22"/>
          <w:szCs w:val="22"/>
        </w:rPr>
        <w:t>单位负责人：</w:t>
      </w:r>
      <w:r>
        <w:rPr>
          <w:rFonts w:hint="eastAsia" w:ascii="CESI仿宋-GB2312" w:hAnsi="CESI仿宋-GB2312" w:eastAsia="CESI仿宋-GB2312" w:cs="CESI仿宋-GB2312"/>
          <w:color w:val="auto"/>
          <w:sz w:val="22"/>
          <w:szCs w:val="22"/>
          <w:lang w:eastAsia="zh-CN"/>
        </w:rPr>
        <w:t>郭沫农</w:t>
      </w:r>
    </w:p>
    <w:p w14:paraId="0517B2FB">
      <w:pPr>
        <w:widowControl/>
        <w:spacing w:line="600" w:lineRule="exact"/>
        <w:jc w:val="left"/>
        <w:rPr>
          <w:rFonts w:hint="eastAsia" w:ascii="黑体" w:hAnsi="黑体" w:eastAsia="黑体" w:cs="黑体"/>
          <w:sz w:val="32"/>
          <w:szCs w:val="32"/>
          <w:highlight w:val="none"/>
        </w:rPr>
      </w:pPr>
    </w:p>
    <w:p w14:paraId="78BF08CA">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3-2</w:t>
      </w:r>
    </w:p>
    <w:p w14:paraId="03BB1850">
      <w:pPr>
        <w:widowControl/>
        <w:spacing w:line="600" w:lineRule="exact"/>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p>
    <w:p w14:paraId="5BA6D271">
      <w:pPr>
        <w:pStyle w:val="2"/>
        <w:rPr>
          <w:rFonts w:hint="eastAsia"/>
          <w:sz w:val="20"/>
          <w:szCs w:val="20"/>
        </w:rPr>
      </w:pPr>
    </w:p>
    <w:tbl>
      <w:tblPr>
        <w:tblStyle w:val="8"/>
        <w:tblW w:w="9851" w:type="dxa"/>
        <w:jc w:val="center"/>
        <w:tblLayout w:type="autofit"/>
        <w:tblCellMar>
          <w:top w:w="0" w:type="dxa"/>
          <w:left w:w="108" w:type="dxa"/>
          <w:bottom w:w="0" w:type="dxa"/>
          <w:right w:w="108" w:type="dxa"/>
        </w:tblCellMar>
      </w:tblPr>
      <w:tblGrid>
        <w:gridCol w:w="1080"/>
        <w:gridCol w:w="1080"/>
        <w:gridCol w:w="1080"/>
        <w:gridCol w:w="1184"/>
        <w:gridCol w:w="1050"/>
        <w:gridCol w:w="1110"/>
        <w:gridCol w:w="976"/>
        <w:gridCol w:w="873"/>
        <w:gridCol w:w="1418"/>
      </w:tblGrid>
      <w:tr w14:paraId="3533D715">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7839F51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14:paraId="27EF9A4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14:paraId="0731E4F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sz w:val="20"/>
                <w:szCs w:val="20"/>
                <w:lang w:val="en-US" w:eastAsia="zh-CN"/>
              </w:rPr>
              <w:t>协管员经费</w:t>
            </w:r>
            <w:r>
              <w:rPr>
                <w:rFonts w:hint="eastAsia" w:ascii="仿宋_GB2312" w:hAnsi="仿宋_GB2312" w:eastAsia="仿宋_GB2312" w:cs="仿宋_GB2312"/>
                <w:color w:val="000000"/>
                <w:sz w:val="20"/>
                <w:szCs w:val="20"/>
                <w:highlight w:val="none"/>
              </w:rPr>
              <w:t>　</w:t>
            </w:r>
          </w:p>
        </w:tc>
      </w:tr>
      <w:tr w14:paraId="2A9065A6">
        <w:tblPrEx>
          <w:tblCellMar>
            <w:top w:w="0" w:type="dxa"/>
            <w:left w:w="108" w:type="dxa"/>
            <w:bottom w:w="0" w:type="dxa"/>
            <w:right w:w="108" w:type="dxa"/>
          </w:tblCellMar>
        </w:tblPrEx>
        <w:trPr>
          <w:trHeight w:val="460" w:hRule="atLeast"/>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1A5BB1A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394" w:type="dxa"/>
            <w:gridSpan w:val="4"/>
            <w:tcBorders>
              <w:top w:val="single" w:color="auto" w:sz="4" w:space="0"/>
              <w:left w:val="single" w:color="auto" w:sz="4" w:space="0"/>
              <w:bottom w:val="single" w:color="auto" w:sz="4" w:space="0"/>
              <w:right w:val="single" w:color="auto" w:sz="4" w:space="0"/>
            </w:tcBorders>
            <w:noWrap w:val="0"/>
            <w:vAlign w:val="center"/>
          </w:tcPr>
          <w:p w14:paraId="525C57A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岳阳市城市管理和综合执法局</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47C0F3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实施单位</w:t>
            </w:r>
          </w:p>
        </w:tc>
        <w:tc>
          <w:tcPr>
            <w:tcW w:w="3267" w:type="dxa"/>
            <w:gridSpan w:val="3"/>
            <w:tcBorders>
              <w:top w:val="single" w:color="auto" w:sz="4" w:space="0"/>
              <w:left w:val="single" w:color="auto" w:sz="4" w:space="0"/>
              <w:bottom w:val="single" w:color="auto" w:sz="4" w:space="0"/>
              <w:right w:val="single" w:color="auto" w:sz="4" w:space="0"/>
            </w:tcBorders>
            <w:noWrap w:val="0"/>
            <w:vAlign w:val="center"/>
          </w:tcPr>
          <w:p w14:paraId="7F2B846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岳阳市城市管理综合行政执法支队</w:t>
            </w:r>
          </w:p>
        </w:tc>
      </w:tr>
      <w:tr w14:paraId="214D3924">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3440C4B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6E0DCC2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1251377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14:paraId="41F9238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7A35DD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14:paraId="5E3C1F0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CC8B1F0">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14:paraId="375D3EF0">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6D730332">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040397A">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6534DFB">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14:paraId="0C61C9C6">
        <w:tblPrEx>
          <w:tblCellMar>
            <w:top w:w="0" w:type="dxa"/>
            <w:left w:w="108" w:type="dxa"/>
            <w:bottom w:w="0" w:type="dxa"/>
            <w:right w:w="108" w:type="dxa"/>
          </w:tblCellMar>
        </w:tblPrEx>
        <w:trPr>
          <w:trHeight w:val="43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501850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132F059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4819D3F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180.00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3B166E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187.59</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4EA7F5E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187.59</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E617EA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A79568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AAEF61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 xml:space="preserve"> 10</w:t>
            </w:r>
          </w:p>
        </w:tc>
      </w:tr>
      <w:tr w14:paraId="193A6EE4">
        <w:tblPrEx>
          <w:tblCellMar>
            <w:top w:w="0" w:type="dxa"/>
            <w:left w:w="108" w:type="dxa"/>
            <w:bottom w:w="0" w:type="dxa"/>
            <w:right w:w="108" w:type="dxa"/>
          </w:tblCellMar>
        </w:tblPrEx>
        <w:trPr>
          <w:trHeight w:val="43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2E710E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10CF301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71B5B1B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180.00</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A7DB1C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187.59</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DFF59D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187.59</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682DF3E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9882A4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823D6C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96D8FD5">
        <w:tblPrEx>
          <w:tblCellMar>
            <w:top w:w="0" w:type="dxa"/>
            <w:left w:w="108" w:type="dxa"/>
            <w:bottom w:w="0" w:type="dxa"/>
            <w:right w:w="108" w:type="dxa"/>
          </w:tblCellMar>
        </w:tblPrEx>
        <w:trPr>
          <w:trHeight w:val="35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69C267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53825CF1">
            <w:pPr>
              <w:keepNext w:val="0"/>
              <w:keepLines w:val="0"/>
              <w:pageBreakBefore w:val="0"/>
              <w:widowControl/>
              <w:kinsoku/>
              <w:wordWrap/>
              <w:overflowPunct/>
              <w:topLinePunct w:val="0"/>
              <w:autoSpaceDE/>
              <w:autoSpaceDN/>
              <w:bidi w:val="0"/>
              <w:adjustRightInd/>
              <w:snapToGrid/>
              <w:spacing w:line="30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7947575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4C47CC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13B1C66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6712FF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8DF121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1A3B57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A5D16E9">
        <w:tblPrEx>
          <w:tblCellMar>
            <w:top w:w="0" w:type="dxa"/>
            <w:left w:w="108" w:type="dxa"/>
            <w:bottom w:w="0" w:type="dxa"/>
            <w:right w:w="108" w:type="dxa"/>
          </w:tblCellMar>
        </w:tblPrEx>
        <w:trPr>
          <w:trHeight w:val="38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D23F81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3243DC2B">
            <w:pPr>
              <w:keepNext w:val="0"/>
              <w:keepLines w:val="0"/>
              <w:pageBreakBefore w:val="0"/>
              <w:widowControl/>
              <w:kinsoku/>
              <w:wordWrap/>
              <w:overflowPunct/>
              <w:topLinePunct w:val="0"/>
              <w:autoSpaceDE/>
              <w:autoSpaceDN/>
              <w:bidi w:val="0"/>
              <w:adjustRightInd/>
              <w:snapToGrid/>
              <w:spacing w:line="30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638A6EC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173691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6CBB1B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776E5F0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292CF0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83FB7B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CE1E9E5">
        <w:tblPrEx>
          <w:tblCellMar>
            <w:top w:w="0" w:type="dxa"/>
            <w:left w:w="108" w:type="dxa"/>
            <w:bottom w:w="0" w:type="dxa"/>
            <w:right w:w="108" w:type="dxa"/>
          </w:tblCellMar>
        </w:tblPrEx>
        <w:trPr>
          <w:trHeight w:val="395" w:hRule="atLeast"/>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39E47F3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394" w:type="dxa"/>
            <w:gridSpan w:val="4"/>
            <w:tcBorders>
              <w:top w:val="single" w:color="auto" w:sz="4" w:space="0"/>
              <w:left w:val="single" w:color="auto" w:sz="4" w:space="0"/>
              <w:bottom w:val="single" w:color="auto" w:sz="4" w:space="0"/>
              <w:right w:val="single" w:color="auto" w:sz="4" w:space="0"/>
            </w:tcBorders>
            <w:noWrap w:val="0"/>
            <w:vAlign w:val="center"/>
          </w:tcPr>
          <w:p w14:paraId="63BDB75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77" w:type="dxa"/>
            <w:gridSpan w:val="4"/>
            <w:tcBorders>
              <w:top w:val="single" w:color="auto" w:sz="4" w:space="0"/>
              <w:left w:val="single" w:color="auto" w:sz="4" w:space="0"/>
              <w:bottom w:val="single" w:color="auto" w:sz="4" w:space="0"/>
              <w:right w:val="single" w:color="auto" w:sz="4" w:space="0"/>
            </w:tcBorders>
            <w:noWrap w:val="0"/>
            <w:vAlign w:val="center"/>
          </w:tcPr>
          <w:p w14:paraId="36C5805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14:paraId="22CB2F17">
        <w:tblPrEx>
          <w:tblCellMar>
            <w:top w:w="0" w:type="dxa"/>
            <w:left w:w="108" w:type="dxa"/>
            <w:bottom w:w="0" w:type="dxa"/>
            <w:right w:w="108" w:type="dxa"/>
          </w:tblCellMar>
        </w:tblPrEx>
        <w:trPr>
          <w:trHeight w:val="135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54CCD5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394" w:type="dxa"/>
            <w:gridSpan w:val="4"/>
            <w:tcBorders>
              <w:top w:val="single" w:color="auto" w:sz="4" w:space="0"/>
              <w:left w:val="single" w:color="auto" w:sz="4" w:space="0"/>
              <w:bottom w:val="single" w:color="auto" w:sz="4" w:space="0"/>
              <w:right w:val="single" w:color="auto" w:sz="4" w:space="0"/>
            </w:tcBorders>
            <w:noWrap w:val="0"/>
            <w:vAlign w:val="center"/>
          </w:tcPr>
          <w:p w14:paraId="637FB85B">
            <w:pPr>
              <w:keepNext w:val="0"/>
              <w:keepLines w:val="0"/>
              <w:pageBreakBefore w:val="0"/>
              <w:widowControl/>
              <w:kinsoku/>
              <w:wordWrap/>
              <w:overflowPunct/>
              <w:topLinePunct w:val="0"/>
              <w:autoSpaceDE/>
              <w:autoSpaceDN/>
              <w:bidi w:val="0"/>
              <w:adjustRightInd/>
              <w:snapToGrid/>
              <w:spacing w:line="30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加强协管员业务培训，提升综合素质，在燃气、扬尘、住建领域、广告园林、市政设施、固废处置执法等方面配合执法人员为市民创造秀美、整洁、安宁的城市环境。</w:t>
            </w:r>
          </w:p>
        </w:tc>
        <w:tc>
          <w:tcPr>
            <w:tcW w:w="4377" w:type="dxa"/>
            <w:gridSpan w:val="4"/>
            <w:tcBorders>
              <w:top w:val="single" w:color="auto" w:sz="4" w:space="0"/>
              <w:left w:val="single" w:color="auto" w:sz="4" w:space="0"/>
              <w:bottom w:val="single" w:color="auto" w:sz="4" w:space="0"/>
              <w:right w:val="single" w:color="auto" w:sz="4" w:space="0"/>
            </w:tcBorders>
            <w:noWrap w:val="0"/>
            <w:vAlign w:val="center"/>
          </w:tcPr>
          <w:p w14:paraId="37D1679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lang w:eastAsia="zh-CN"/>
              </w:rPr>
              <w:t>通过专项培训及跟班作业训练，</w:t>
            </w:r>
            <w:r>
              <w:rPr>
                <w:rFonts w:hint="eastAsia" w:ascii="仿宋_GB2312" w:hAnsi="仿宋_GB2312" w:eastAsia="仿宋_GB2312" w:cs="仿宋_GB2312"/>
                <w:color w:val="000000"/>
                <w:sz w:val="20"/>
                <w:szCs w:val="20"/>
              </w:rPr>
              <w:t>协管员在支队执法人员的带领下，能独立处理好各种执法事件</w:t>
            </w:r>
            <w:r>
              <w:rPr>
                <w:rFonts w:hint="eastAsia" w:ascii="仿宋_GB2312" w:hAnsi="仿宋_GB2312" w:eastAsia="仿宋_GB2312" w:cs="仿宋_GB2312"/>
                <w:color w:val="000000"/>
                <w:sz w:val="20"/>
                <w:szCs w:val="20"/>
                <w:lang w:eastAsia="zh-CN"/>
              </w:rPr>
              <w:t>辅助工作</w:t>
            </w:r>
            <w:r>
              <w:rPr>
                <w:rFonts w:hint="eastAsia" w:ascii="仿宋_GB2312" w:hAnsi="仿宋_GB2312" w:eastAsia="仿宋_GB2312" w:cs="仿宋_GB2312"/>
                <w:color w:val="000000"/>
                <w:sz w:val="20"/>
                <w:szCs w:val="20"/>
              </w:rPr>
              <w:t>，</w:t>
            </w:r>
            <w:r>
              <w:rPr>
                <w:rFonts w:hint="eastAsia" w:ascii="仿宋_GB2312" w:hAnsi="仿宋_GB2312" w:eastAsia="仿宋_GB2312" w:cs="仿宋_GB2312"/>
                <w:color w:val="000000"/>
                <w:sz w:val="20"/>
                <w:szCs w:val="20"/>
                <w:lang w:eastAsia="zh-CN"/>
              </w:rPr>
              <w:t>管辖范围内</w:t>
            </w:r>
            <w:r>
              <w:rPr>
                <w:rFonts w:hint="eastAsia" w:ascii="仿宋_GB2312" w:hAnsi="仿宋_GB2312" w:eastAsia="仿宋_GB2312" w:cs="仿宋_GB2312"/>
                <w:color w:val="000000"/>
                <w:sz w:val="20"/>
                <w:szCs w:val="20"/>
              </w:rPr>
              <w:t>市容秩序治理得井然有序，给市民</w:t>
            </w:r>
            <w:r>
              <w:rPr>
                <w:rFonts w:hint="eastAsia" w:ascii="仿宋_GB2312" w:hAnsi="仿宋_GB2312" w:eastAsia="仿宋_GB2312" w:cs="仿宋_GB2312"/>
                <w:color w:val="000000"/>
                <w:sz w:val="20"/>
                <w:szCs w:val="20"/>
                <w:lang w:val="en-US" w:eastAsia="zh-CN"/>
              </w:rPr>
              <w:t>营造了</w:t>
            </w:r>
            <w:r>
              <w:rPr>
                <w:rFonts w:hint="eastAsia" w:ascii="仿宋_GB2312" w:hAnsi="仿宋_GB2312" w:eastAsia="仿宋_GB2312" w:cs="仿宋_GB2312"/>
                <w:color w:val="000000"/>
                <w:sz w:val="20"/>
                <w:szCs w:val="20"/>
              </w:rPr>
              <w:t>秀美整洁的环境。　</w:t>
            </w:r>
          </w:p>
        </w:tc>
      </w:tr>
      <w:tr w14:paraId="4A735A6A">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14E1B2A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14:paraId="0832AC5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14:paraId="0FDE13E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14:paraId="45CC303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D055D4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24A5B8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3441435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77C623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14:paraId="097AADC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11A4792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14:paraId="3EF7169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0C3557F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A80BAF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393840C">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14:paraId="2F957A88">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1117CA4">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4C1C62F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14:paraId="222A74E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p w14:paraId="6CAB0A0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7D847EB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6BAAD86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有固定协管队伍</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FD6DEB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40人</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3F91049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40人</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E517F8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D59769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1C607A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r>
      <w:tr w14:paraId="6BE626D9">
        <w:tblPrEx>
          <w:tblCellMar>
            <w:top w:w="0" w:type="dxa"/>
            <w:left w:w="108" w:type="dxa"/>
            <w:bottom w:w="0" w:type="dxa"/>
            <w:right w:w="108" w:type="dxa"/>
          </w:tblCellMar>
        </w:tblPrEx>
        <w:trPr>
          <w:trHeight w:val="55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361FE49">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611650A">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926F1B9">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7B70D89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考核</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08A7CDF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2次</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6BF62D78">
            <w:pPr>
              <w:keepNext w:val="0"/>
              <w:keepLines w:val="0"/>
              <w:pageBreakBefore w:val="0"/>
              <w:widowControl/>
              <w:kinsoku/>
              <w:wordWrap/>
              <w:overflowPunct/>
              <w:topLinePunct w:val="0"/>
              <w:autoSpaceDE/>
              <w:autoSpaceDN/>
              <w:bidi w:val="0"/>
              <w:adjustRightInd/>
              <w:snapToGrid/>
              <w:spacing w:line="300" w:lineRule="exact"/>
              <w:ind w:firstLine="200" w:firstLineChars="100"/>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2次</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6F9518C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1B9C87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05E9AA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r>
      <w:tr w14:paraId="43C21323">
        <w:tblPrEx>
          <w:tblCellMar>
            <w:top w:w="0" w:type="dxa"/>
            <w:left w:w="108" w:type="dxa"/>
            <w:bottom w:w="0" w:type="dxa"/>
            <w:right w:w="108" w:type="dxa"/>
          </w:tblCellMar>
        </w:tblPrEx>
        <w:trPr>
          <w:trHeight w:val="55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D30D261">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9C205FA">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C834B55">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3AE1332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业务培训</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2E438A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≥2次/年</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3DF9AC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3次</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43C603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CBB732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48327F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eastAsia="zh-CN"/>
              </w:rPr>
            </w:pPr>
          </w:p>
        </w:tc>
      </w:tr>
      <w:tr w14:paraId="197986B3">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934525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1BAC79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52AEE03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74B79BB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协管员管理</w:t>
            </w:r>
            <w:r>
              <w:rPr>
                <w:rFonts w:hint="eastAsia" w:ascii="仿宋_GB2312" w:hAnsi="仿宋_GB2312" w:eastAsia="仿宋_GB2312" w:cs="仿宋_GB2312"/>
                <w:color w:val="000000"/>
                <w:sz w:val="20"/>
                <w:szCs w:val="20"/>
                <w:highlight w:val="none"/>
                <w:lang w:eastAsia="zh-CN"/>
              </w:rPr>
              <w:t>及考核</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60FE5D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职责分明、考核合格</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4E0549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业务考核合格</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04578BC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48C6F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1E7754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0245FC2">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A5CAD70">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51991A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7E22CF8">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0D91893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辅助执法</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EBC59A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无负面舆情</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48EA4C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无负面舆情</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27A24D8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F7FD52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11FE85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34B3D2AF">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FFF3FDF">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EB8DD55">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1C9431C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526C2EB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按时发放工资</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缴纳</w:t>
            </w:r>
            <w:r>
              <w:rPr>
                <w:rFonts w:hint="eastAsia" w:ascii="仿宋_GB2312" w:hAnsi="仿宋_GB2312" w:eastAsia="仿宋_GB2312" w:cs="仿宋_GB2312"/>
                <w:color w:val="000000"/>
                <w:sz w:val="20"/>
                <w:szCs w:val="20"/>
                <w:highlight w:val="none"/>
                <w:lang w:val="en-US" w:eastAsia="zh-CN"/>
              </w:rPr>
              <w:t>各类保险</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1EE763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每月</w:t>
            </w:r>
            <w:r>
              <w:rPr>
                <w:rFonts w:hint="eastAsia" w:ascii="仿宋_GB2312" w:hAnsi="仿宋_GB2312" w:eastAsia="仿宋_GB2312" w:cs="仿宋_GB2312"/>
                <w:color w:val="000000"/>
                <w:sz w:val="20"/>
                <w:szCs w:val="20"/>
                <w:highlight w:val="none"/>
                <w:lang w:eastAsia="zh-CN"/>
              </w:rPr>
              <w:t>支付</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9B4B49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均按时完成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0BA1494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2DA984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5B0C6F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76A2D53">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6F3FFB2">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53EC7C7">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6E9B25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6D3412B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辅助执法工作</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C4C9C5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能协助执法人员及时完成执法工作</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40E749F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协助执法人员完成了各项执法工作</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0BDDC3E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442D45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436F1A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457AC7C">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A46BD6D">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52342A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2358F57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6E29762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项目实施成本</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F15009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控制在180万元之内</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11A938F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187.59万元</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6ECAD9E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A16F0D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0008EA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社保基数逐年上涨</w:t>
            </w:r>
          </w:p>
          <w:p w14:paraId="68E36EA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p w14:paraId="07E8CBE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r>
      <w:tr w14:paraId="5E933D55">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FF52F58">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8B6E4F0">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4C9B11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134ED20C">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iCs w:val="0"/>
                <w:color w:val="000000"/>
                <w:kern w:val="0"/>
                <w:sz w:val="20"/>
                <w:szCs w:val="20"/>
                <w:u w:val="none"/>
                <w:lang w:val="en-US" w:eastAsia="zh-CN" w:bidi="ar"/>
              </w:rPr>
              <w:t>对社会发展造成负面影响</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08A96EE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0202517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0C3B771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BA97C3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34F3C86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6EC117E">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9AC4666">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B21EB8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D9C98F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6F71599E">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i w:val="0"/>
                <w:iCs w:val="0"/>
                <w:color w:val="000000"/>
                <w:kern w:val="0"/>
                <w:sz w:val="20"/>
                <w:szCs w:val="20"/>
                <w:u w:val="none"/>
                <w:lang w:val="en-US" w:eastAsia="zh-CN" w:bidi="ar"/>
              </w:rPr>
              <w:t>对生态环境造成负面影响</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EE29DF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6669FE3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w:t>
            </w:r>
            <w:r>
              <w:rPr>
                <w:rFonts w:hint="eastAsia" w:ascii="仿宋_GB2312" w:hAnsi="仿宋_GB2312" w:eastAsia="仿宋_GB2312" w:cs="仿宋_GB2312"/>
                <w:i w:val="0"/>
                <w:iCs w:val="0"/>
                <w:color w:val="000000"/>
                <w:kern w:val="0"/>
                <w:sz w:val="20"/>
                <w:szCs w:val="20"/>
                <w:u w:val="none"/>
                <w:lang w:val="en-US" w:eastAsia="zh-CN" w:bidi="ar"/>
              </w:rPr>
              <w:t>负面影响</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4A3F233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69D1D5F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807847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10765849">
        <w:tblPrEx>
          <w:tblCellMar>
            <w:top w:w="0" w:type="dxa"/>
            <w:left w:w="108" w:type="dxa"/>
            <w:bottom w:w="0" w:type="dxa"/>
            <w:right w:w="108" w:type="dxa"/>
          </w:tblCellMar>
        </w:tblPrEx>
        <w:trPr>
          <w:trHeight w:val="62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2B39BA6">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04E444C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14:paraId="671F11D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p w14:paraId="577AF51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14:paraId="5DC5649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80" w:type="dxa"/>
            <w:vMerge w:val="restart"/>
            <w:tcBorders>
              <w:top w:val="single" w:color="auto" w:sz="4" w:space="0"/>
              <w:left w:val="single" w:color="auto" w:sz="4" w:space="0"/>
              <w:right w:val="single" w:color="auto" w:sz="4" w:space="0"/>
            </w:tcBorders>
            <w:noWrap w:val="0"/>
            <w:vAlign w:val="center"/>
          </w:tcPr>
          <w:p w14:paraId="20FFA14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14:paraId="2B1E7C1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4CDB3C2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产生一定的罚没收入</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09CA6BE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配合执法人员完成年度非税收入计划</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BD3E4C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已按时完成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393E0B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709BC5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1353C77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51A4C60">
        <w:tblPrEx>
          <w:tblCellMar>
            <w:top w:w="0" w:type="dxa"/>
            <w:left w:w="108" w:type="dxa"/>
            <w:bottom w:w="0" w:type="dxa"/>
            <w:right w:w="108" w:type="dxa"/>
          </w:tblCellMar>
        </w:tblPrEx>
        <w:trPr>
          <w:trHeight w:val="62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12F799A">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single" w:color="auto" w:sz="4" w:space="0"/>
              <w:right w:val="single" w:color="auto" w:sz="4" w:space="0"/>
            </w:tcBorders>
            <w:noWrap w:val="0"/>
            <w:vAlign w:val="center"/>
          </w:tcPr>
          <w:p w14:paraId="78DB81F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left w:val="single" w:color="auto" w:sz="4" w:space="0"/>
              <w:bottom w:val="single" w:color="auto" w:sz="4" w:space="0"/>
              <w:right w:val="single" w:color="auto" w:sz="4" w:space="0"/>
            </w:tcBorders>
            <w:noWrap w:val="0"/>
            <w:vAlign w:val="center"/>
          </w:tcPr>
          <w:p w14:paraId="3D269D0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2574B30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产生一定的间接经济效益</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2DBA98A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协管员工资、</w:t>
            </w:r>
            <w:r>
              <w:rPr>
                <w:rFonts w:hint="eastAsia" w:ascii="仿宋_GB2312" w:hAnsi="仿宋_GB2312" w:eastAsia="仿宋_GB2312" w:cs="仿宋_GB2312"/>
                <w:color w:val="000000"/>
                <w:sz w:val="20"/>
                <w:szCs w:val="20"/>
                <w:highlight w:val="none"/>
                <w:lang w:val="en-US" w:eastAsia="zh-CN"/>
              </w:rPr>
              <w:t>社保收入</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791FA6A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协管员工资、</w:t>
            </w:r>
            <w:r>
              <w:rPr>
                <w:rFonts w:hint="eastAsia" w:ascii="仿宋_GB2312" w:hAnsi="仿宋_GB2312" w:eastAsia="仿宋_GB2312" w:cs="仿宋_GB2312"/>
                <w:color w:val="000000"/>
                <w:sz w:val="20"/>
                <w:szCs w:val="20"/>
                <w:highlight w:val="none"/>
                <w:lang w:val="en-US" w:eastAsia="zh-CN"/>
              </w:rPr>
              <w:t>社保收入</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6F1B98C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74F6BC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F63FE7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r>
      <w:tr w14:paraId="53C2589D">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E6E0F3A">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E9E6B85">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0C6D2E4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14:paraId="27E9BE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5D4E46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rPr>
              <w:t>服务市民，助力国家卫生城市、文明城市</w:t>
            </w:r>
            <w:r>
              <w:rPr>
                <w:rFonts w:hint="eastAsia" w:ascii="仿宋_GB2312" w:hAnsi="仿宋_GB2312" w:eastAsia="仿宋_GB2312" w:cs="仿宋_GB2312"/>
                <w:color w:val="000000"/>
                <w:sz w:val="20"/>
                <w:szCs w:val="20"/>
                <w:lang w:eastAsia="zh-CN"/>
              </w:rPr>
              <w:t>建设</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191C6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rPr>
              <w:t>服务市民，助力国家卫生城市、文明城市</w:t>
            </w:r>
            <w:r>
              <w:rPr>
                <w:rFonts w:hint="eastAsia" w:ascii="仿宋_GB2312" w:hAnsi="仿宋_GB2312" w:eastAsia="仿宋_GB2312" w:cs="仿宋_GB2312"/>
                <w:color w:val="000000"/>
                <w:sz w:val="20"/>
                <w:szCs w:val="20"/>
                <w:lang w:eastAsia="zh-CN"/>
              </w:rPr>
              <w:t>建设</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32E80A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为</w:t>
            </w:r>
            <w:r>
              <w:rPr>
                <w:rFonts w:hint="eastAsia" w:ascii="仿宋_GB2312" w:hAnsi="仿宋_GB2312" w:eastAsia="仿宋_GB2312" w:cs="仿宋_GB2312"/>
                <w:color w:val="000000"/>
                <w:sz w:val="20"/>
                <w:szCs w:val="20"/>
              </w:rPr>
              <w:t>国家卫生城市、文明城市</w:t>
            </w:r>
            <w:r>
              <w:rPr>
                <w:rFonts w:hint="eastAsia" w:ascii="仿宋_GB2312" w:hAnsi="仿宋_GB2312" w:eastAsia="仿宋_GB2312" w:cs="仿宋_GB2312"/>
                <w:color w:val="000000"/>
                <w:sz w:val="20"/>
                <w:szCs w:val="20"/>
                <w:lang w:eastAsia="zh-CN"/>
              </w:rPr>
              <w:t>建设奠定了基础</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77840EF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545AE28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313685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876D3F0">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F4E4237">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AA6C015">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2BE7363">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591574C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提供就业岗位</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572EA49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提供一定数量的就业岗位</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0E4DFC6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提供了一定数量的就业岗位</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68FCC42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8BFD60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25F998D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22C8652">
        <w:tblPrEx>
          <w:tblCellMar>
            <w:top w:w="0" w:type="dxa"/>
            <w:left w:w="108" w:type="dxa"/>
            <w:bottom w:w="0" w:type="dxa"/>
            <w:right w:w="108" w:type="dxa"/>
          </w:tblCellMar>
        </w:tblPrEx>
        <w:trPr>
          <w:trHeight w:val="131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731F03C">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4EDE03C">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F38C4C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14:paraId="3BB4DB4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2D9B6495">
            <w:pPr>
              <w:keepNext w:val="0"/>
              <w:keepLines w:val="0"/>
              <w:pageBreakBefore w:val="0"/>
              <w:widowControl/>
              <w:kinsoku/>
              <w:wordWrap/>
              <w:overflowPunct/>
              <w:topLinePunct w:val="0"/>
              <w:autoSpaceDE/>
              <w:bidi w:val="0"/>
              <w:adjustRightInd/>
              <w:snapToGrid/>
              <w:spacing w:line="300" w:lineRule="exact"/>
              <w:jc w:val="center"/>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color w:val="000000"/>
                <w:sz w:val="20"/>
                <w:szCs w:val="20"/>
                <w:lang w:val="en-US" w:eastAsia="zh-CN"/>
              </w:rPr>
              <w:t>城区扬尘治理</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75284BA2">
            <w:pPr>
              <w:keepNext w:val="0"/>
              <w:keepLines w:val="0"/>
              <w:pageBreakBefore w:val="0"/>
              <w:widowControl/>
              <w:kinsoku/>
              <w:wordWrap/>
              <w:overflowPunct/>
              <w:topLinePunct w:val="0"/>
              <w:autoSpaceDE/>
              <w:bidi w:val="0"/>
              <w:adjustRightInd/>
              <w:snapToGrid/>
              <w:spacing w:line="300" w:lineRule="exact"/>
              <w:jc w:val="left"/>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sz w:val="20"/>
                <w:szCs w:val="20"/>
                <w:lang w:eastAsia="zh-CN"/>
              </w:rPr>
              <w:t>协助执法人员加强基建场地污染源整治</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28DF1EC5">
            <w:pPr>
              <w:keepNext w:val="0"/>
              <w:keepLines w:val="0"/>
              <w:pageBreakBefore w:val="0"/>
              <w:widowControl w:val="0"/>
              <w:kinsoku/>
              <w:wordWrap/>
              <w:overflowPunct/>
              <w:topLinePunct w:val="0"/>
              <w:autoSpaceDE/>
              <w:autoSpaceDN w:val="0"/>
              <w:bidi w:val="0"/>
              <w:adjustRightInd/>
              <w:snapToGrid/>
              <w:spacing w:line="300" w:lineRule="exact"/>
              <w:jc w:val="left"/>
              <w:textAlignment w:val="center"/>
              <w:rPr>
                <w:rFonts w:hint="eastAsia" w:ascii="仿宋_GB2312" w:hAnsi="仿宋_GB2312" w:eastAsia="仿宋_GB2312" w:cs="仿宋_GB2312"/>
                <w:color w:val="000000"/>
                <w:kern w:val="0"/>
                <w:sz w:val="20"/>
                <w:szCs w:val="20"/>
                <w:highlight w:val="none"/>
                <w:lang w:val="en-US" w:eastAsia="zh-CN" w:bidi="ar-SA"/>
              </w:rPr>
            </w:pPr>
            <w:r>
              <w:rPr>
                <w:rFonts w:hint="eastAsia" w:ascii="仿宋_GB2312" w:hAnsi="仿宋_GB2312" w:eastAsia="仿宋_GB2312" w:cs="仿宋_GB2312"/>
                <w:sz w:val="20"/>
                <w:szCs w:val="20"/>
              </w:rPr>
              <w:t>严格管控</w:t>
            </w:r>
            <w:r>
              <w:rPr>
                <w:rFonts w:hint="eastAsia" w:ascii="仿宋_GB2312" w:hAnsi="仿宋_GB2312" w:eastAsia="仿宋_GB2312" w:cs="仿宋_GB2312"/>
                <w:sz w:val="20"/>
                <w:szCs w:val="20"/>
                <w:lang w:eastAsia="zh-CN"/>
              </w:rPr>
              <w:t>了</w:t>
            </w:r>
            <w:r>
              <w:rPr>
                <w:rFonts w:hint="eastAsia" w:ascii="仿宋_GB2312" w:hAnsi="仿宋_GB2312" w:eastAsia="仿宋_GB2312" w:cs="仿宋_GB2312"/>
                <w:sz w:val="20"/>
                <w:szCs w:val="20"/>
              </w:rPr>
              <w:t>污染源</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lang w:val="en-US" w:eastAsia="zh-CN"/>
              </w:rPr>
              <w:t>减少了城市污染源。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0327650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6CF7D6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7DEB4C9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val="en-US" w:eastAsia="zh-CN"/>
              </w:rPr>
              <w:t>部分</w:t>
            </w:r>
            <w:r>
              <w:rPr>
                <w:rFonts w:hint="eastAsia" w:ascii="仿宋_GB2312" w:hAnsi="仿宋_GB2312" w:eastAsia="仿宋_GB2312" w:cs="仿宋_GB2312"/>
                <w:sz w:val="20"/>
                <w:szCs w:val="20"/>
                <w:lang w:eastAsia="zh-CN"/>
              </w:rPr>
              <w:t>基建场地</w:t>
            </w:r>
            <w:r>
              <w:rPr>
                <w:rFonts w:hint="eastAsia" w:ascii="仿宋_GB2312" w:hAnsi="仿宋_GB2312" w:eastAsia="仿宋_GB2312" w:cs="仿宋_GB2312"/>
                <w:color w:val="000000"/>
                <w:sz w:val="20"/>
                <w:szCs w:val="20"/>
                <w:lang w:val="en-US" w:eastAsia="zh-CN"/>
              </w:rPr>
              <w:t>扬尘治理有待加强监管，下一步加强巡查，切实管控好污染源。</w:t>
            </w:r>
          </w:p>
        </w:tc>
      </w:tr>
      <w:tr w14:paraId="19144CC4">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3185F2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A6B957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71E3AA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6725B94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辅助城管执法，助力省域副中心城市建设</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3594692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加强城管执法队伍建设</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1F03967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补充了执法队伍人员，加强了执法力度建设。</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2DFA8B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01BD6E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AC6C07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C6B1722">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D416566">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CFAA36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14:paraId="307EC2C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14:paraId="7E9A544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58BE3F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224381E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w:t>
            </w:r>
          </w:p>
        </w:tc>
        <w:tc>
          <w:tcPr>
            <w:tcW w:w="1050" w:type="dxa"/>
            <w:tcBorders>
              <w:top w:val="single" w:color="auto" w:sz="4" w:space="0"/>
              <w:left w:val="single" w:color="auto" w:sz="4" w:space="0"/>
              <w:bottom w:val="single" w:color="auto" w:sz="4" w:space="0"/>
              <w:right w:val="single" w:color="auto" w:sz="4" w:space="0"/>
            </w:tcBorders>
            <w:noWrap w:val="0"/>
            <w:vAlign w:val="center"/>
          </w:tcPr>
          <w:p w14:paraId="129E847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≥95</w:t>
            </w:r>
            <w:r>
              <w:rPr>
                <w:rFonts w:hint="eastAsia" w:ascii="仿宋_GB2312" w:hAnsi="仿宋_GB2312" w:eastAsia="仿宋_GB2312" w:cs="仿宋_GB2312"/>
                <w:color w:val="000000"/>
                <w:sz w:val="20"/>
                <w:szCs w:val="20"/>
                <w:highlight w:val="none"/>
                <w:lang w:val="en-US" w:eastAsia="zh-CN"/>
              </w:rPr>
              <w:t>%</w:t>
            </w:r>
          </w:p>
        </w:tc>
        <w:tc>
          <w:tcPr>
            <w:tcW w:w="1110" w:type="dxa"/>
            <w:tcBorders>
              <w:top w:val="single" w:color="auto" w:sz="4" w:space="0"/>
              <w:left w:val="single" w:color="auto" w:sz="4" w:space="0"/>
              <w:bottom w:val="single" w:color="auto" w:sz="4" w:space="0"/>
              <w:right w:val="single" w:color="auto" w:sz="4" w:space="0"/>
            </w:tcBorders>
            <w:noWrap w:val="0"/>
            <w:vAlign w:val="center"/>
          </w:tcPr>
          <w:p w14:paraId="513E412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97%</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AEAB20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4FC45A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4E1D926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F97BE0B">
        <w:tblPrEx>
          <w:tblCellMar>
            <w:top w:w="0" w:type="dxa"/>
            <w:left w:w="108" w:type="dxa"/>
            <w:bottom w:w="0" w:type="dxa"/>
            <w:right w:w="108" w:type="dxa"/>
          </w:tblCellMar>
        </w:tblPrEx>
        <w:trPr>
          <w:trHeight w:val="465" w:hRule="atLeast"/>
          <w:jc w:val="center"/>
        </w:trPr>
        <w:tc>
          <w:tcPr>
            <w:tcW w:w="6584" w:type="dxa"/>
            <w:gridSpan w:val="6"/>
            <w:tcBorders>
              <w:top w:val="single" w:color="auto" w:sz="4" w:space="0"/>
              <w:left w:val="single" w:color="auto" w:sz="4" w:space="0"/>
              <w:bottom w:val="single" w:color="auto" w:sz="4" w:space="0"/>
              <w:right w:val="single" w:color="auto" w:sz="4" w:space="0"/>
            </w:tcBorders>
            <w:noWrap w:val="0"/>
            <w:vAlign w:val="center"/>
          </w:tcPr>
          <w:p w14:paraId="24F8BE8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48927B3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94C861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98</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002F380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14:paraId="351119D9">
      <w:pPr>
        <w:widowControl/>
        <w:spacing w:line="600" w:lineRule="exact"/>
        <w:jc w:val="left"/>
        <w:rPr>
          <w:rFonts w:hint="default" w:ascii="CESI仿宋-GB2312" w:hAnsi="CESI仿宋-GB2312" w:eastAsia="CESI仿宋-GB2312" w:cs="CESI仿宋-GB2312"/>
          <w:color w:val="auto"/>
          <w:sz w:val="22"/>
          <w:szCs w:val="22"/>
          <w:highlight w:val="none"/>
          <w:lang w:val="en-US" w:eastAsia="zh-CN"/>
        </w:rPr>
      </w:pPr>
      <w:r>
        <w:rPr>
          <w:rFonts w:hint="eastAsia" w:ascii="CESI仿宋-GB2312" w:hAnsi="CESI仿宋-GB2312" w:eastAsia="CESI仿宋-GB2312" w:cs="CESI仿宋-GB2312"/>
          <w:color w:val="auto"/>
          <w:sz w:val="22"/>
          <w:szCs w:val="22"/>
        </w:rPr>
        <w:t>填表人：</w:t>
      </w:r>
      <w:r>
        <w:rPr>
          <w:rFonts w:hint="eastAsia" w:ascii="CESI仿宋-GB2312" w:hAnsi="CESI仿宋-GB2312" w:eastAsia="CESI仿宋-GB2312" w:cs="CESI仿宋-GB2312"/>
          <w:color w:val="auto"/>
          <w:sz w:val="22"/>
          <w:szCs w:val="22"/>
          <w:lang w:eastAsia="zh-CN"/>
        </w:rPr>
        <w:t>徐建</w:t>
      </w:r>
      <w:r>
        <w:rPr>
          <w:rFonts w:hint="eastAsia" w:ascii="CESI仿宋-GB2312" w:hAnsi="CESI仿宋-GB2312" w:eastAsia="CESI仿宋-GB2312" w:cs="CESI仿宋-GB2312"/>
          <w:color w:val="auto"/>
          <w:sz w:val="22"/>
          <w:szCs w:val="22"/>
          <w:lang w:val="en-US" w:eastAsia="zh-CN"/>
        </w:rPr>
        <w:t xml:space="preserve">  </w:t>
      </w:r>
      <w:r>
        <w:rPr>
          <w:rFonts w:hint="eastAsia" w:ascii="CESI仿宋-GB2312" w:hAnsi="CESI仿宋-GB2312" w:eastAsia="CESI仿宋-GB2312" w:cs="CESI仿宋-GB2312"/>
          <w:color w:val="auto"/>
          <w:sz w:val="22"/>
          <w:szCs w:val="22"/>
        </w:rPr>
        <w:t>填报日期：</w:t>
      </w:r>
      <w:r>
        <w:rPr>
          <w:rFonts w:hint="eastAsia" w:ascii="CESI仿宋-GB2312" w:hAnsi="CESI仿宋-GB2312" w:eastAsia="CESI仿宋-GB2312" w:cs="CESI仿宋-GB2312"/>
          <w:color w:val="auto"/>
          <w:sz w:val="22"/>
          <w:szCs w:val="22"/>
          <w:lang w:val="en-US" w:eastAsia="zh-CN"/>
        </w:rPr>
        <w:t>2026.6.15</w:t>
      </w:r>
      <w:r>
        <w:rPr>
          <w:rFonts w:hint="eastAsia" w:ascii="CESI仿宋-GB2312" w:hAnsi="CESI仿宋-GB2312" w:eastAsia="CESI仿宋-GB2312" w:cs="CESI仿宋-GB2312"/>
          <w:color w:val="auto"/>
          <w:sz w:val="22"/>
          <w:szCs w:val="22"/>
        </w:rPr>
        <w:t xml:space="preserve">  联系电话：</w:t>
      </w:r>
      <w:r>
        <w:rPr>
          <w:rFonts w:hint="eastAsia" w:ascii="CESI仿宋-GB2312" w:hAnsi="CESI仿宋-GB2312" w:eastAsia="CESI仿宋-GB2312" w:cs="CESI仿宋-GB2312"/>
          <w:color w:val="auto"/>
          <w:sz w:val="22"/>
          <w:szCs w:val="22"/>
          <w:lang w:val="en-US" w:eastAsia="zh-CN"/>
        </w:rPr>
        <w:t>0730-8227298</w:t>
      </w:r>
      <w:r>
        <w:rPr>
          <w:rFonts w:hint="eastAsia" w:ascii="CESI仿宋-GB2312" w:hAnsi="CESI仿宋-GB2312" w:eastAsia="CESI仿宋-GB2312" w:cs="CESI仿宋-GB2312"/>
          <w:color w:val="auto"/>
          <w:sz w:val="22"/>
          <w:szCs w:val="22"/>
        </w:rPr>
        <w:t xml:space="preserve"> 单位负责人：</w:t>
      </w:r>
      <w:r>
        <w:rPr>
          <w:rFonts w:hint="eastAsia" w:ascii="CESI仿宋-GB2312" w:hAnsi="CESI仿宋-GB2312" w:eastAsia="CESI仿宋-GB2312" w:cs="CESI仿宋-GB2312"/>
          <w:color w:val="auto"/>
          <w:sz w:val="22"/>
          <w:szCs w:val="22"/>
          <w:lang w:eastAsia="zh-CN"/>
        </w:rPr>
        <w:t>郭沫农</w:t>
      </w:r>
    </w:p>
    <w:p w14:paraId="14A37809">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ascii="黑体" w:hAnsi="黑体" w:eastAsia="黑体" w:cs="黑体"/>
          <w:sz w:val="32"/>
          <w:szCs w:val="32"/>
          <w:highlight w:val="none"/>
          <w:lang w:eastAsia="zh-CN"/>
        </w:rPr>
      </w:pPr>
    </w:p>
    <w:p w14:paraId="154DE979">
      <w:pPr>
        <w:widowControl/>
        <w:spacing w:line="600" w:lineRule="exact"/>
        <w:jc w:val="left"/>
        <w:rPr>
          <w:rFonts w:hint="eastAsia" w:ascii="黑体" w:hAnsi="黑体" w:eastAsia="黑体" w:cs="黑体"/>
          <w:sz w:val="32"/>
          <w:szCs w:val="32"/>
          <w:highlight w:val="none"/>
        </w:rPr>
      </w:pPr>
    </w:p>
    <w:p w14:paraId="7060B5D7">
      <w:pPr>
        <w:widowControl/>
        <w:spacing w:line="600" w:lineRule="exact"/>
        <w:jc w:val="left"/>
        <w:rPr>
          <w:rFonts w:hint="eastAsia" w:ascii="黑体" w:hAnsi="黑体" w:eastAsia="黑体" w:cs="黑体"/>
          <w:sz w:val="32"/>
          <w:szCs w:val="32"/>
          <w:highlight w:val="none"/>
        </w:rPr>
      </w:pPr>
    </w:p>
    <w:p w14:paraId="7FE8BC92">
      <w:pPr>
        <w:widowControl/>
        <w:spacing w:line="600" w:lineRule="exact"/>
        <w:jc w:val="left"/>
        <w:rPr>
          <w:rFonts w:hint="default" w:ascii="Times New Roman" w:hAnsi="Times New Roman" w:eastAsia="黑体" w:cs="Times New Roman"/>
          <w:sz w:val="32"/>
          <w:szCs w:val="32"/>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4</w:t>
      </w:r>
    </w:p>
    <w:p w14:paraId="37577461">
      <w:pPr>
        <w:jc w:val="left"/>
        <w:rPr>
          <w:rFonts w:hint="default" w:ascii="方正小标宋简体" w:hAnsi="方正小标宋简体" w:eastAsia="方正小标宋简体" w:cs="方正小标宋简体"/>
          <w:sz w:val="44"/>
          <w:szCs w:val="44"/>
          <w:lang w:val="en-US" w:eastAsia="zh-CN"/>
        </w:rPr>
      </w:pPr>
    </w:p>
    <w:p w14:paraId="7D68FF3F">
      <w:pPr>
        <w:jc w:val="center"/>
        <w:rPr>
          <w:rFonts w:hint="eastAsia" w:ascii="方正小标宋简体" w:hAnsi="方正小标宋简体" w:eastAsia="方正小标宋简体" w:cs="方正小标宋简体"/>
          <w:sz w:val="44"/>
          <w:szCs w:val="44"/>
        </w:rPr>
      </w:pPr>
    </w:p>
    <w:p w14:paraId="6EF6B9A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rPr>
      </w:pPr>
    </w:p>
    <w:p w14:paraId="260D621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202</w:t>
      </w:r>
      <w:r>
        <w:rPr>
          <w:rFonts w:hint="eastAsia" w:asciiTheme="majorEastAsia" w:hAnsiTheme="majorEastAsia" w:eastAsiaTheme="majorEastAsia" w:cstheme="majorEastAsia"/>
          <w:b/>
          <w:bCs/>
          <w:sz w:val="44"/>
          <w:szCs w:val="44"/>
          <w:lang w:val="en-US" w:eastAsia="zh-CN"/>
        </w:rPr>
        <w:t>5</w:t>
      </w:r>
      <w:r>
        <w:rPr>
          <w:rFonts w:hint="eastAsia" w:asciiTheme="majorEastAsia" w:hAnsiTheme="majorEastAsia" w:eastAsiaTheme="majorEastAsia" w:cstheme="majorEastAsia"/>
          <w:b/>
          <w:bCs/>
          <w:sz w:val="44"/>
          <w:szCs w:val="44"/>
        </w:rPr>
        <w:t>年度</w:t>
      </w:r>
      <w:r>
        <w:rPr>
          <w:rFonts w:hint="eastAsia" w:asciiTheme="majorEastAsia" w:hAnsiTheme="majorEastAsia" w:eastAsiaTheme="majorEastAsia" w:cstheme="majorEastAsia"/>
          <w:b/>
          <w:bCs/>
          <w:color w:val="000000"/>
          <w:sz w:val="44"/>
          <w:szCs w:val="44"/>
        </w:rPr>
        <w:t>岳阳市城市管理综合行政执法支队</w:t>
      </w:r>
      <w:r>
        <w:rPr>
          <w:rFonts w:hint="eastAsia" w:asciiTheme="majorEastAsia" w:hAnsiTheme="majorEastAsia" w:eastAsiaTheme="majorEastAsia" w:cstheme="majorEastAsia"/>
          <w:b/>
          <w:bCs/>
          <w:sz w:val="44"/>
          <w:szCs w:val="44"/>
        </w:rPr>
        <w:t>整体支出绩效自评报告</w:t>
      </w:r>
    </w:p>
    <w:p w14:paraId="5DF65BA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b/>
          <w:bCs/>
          <w:sz w:val="44"/>
          <w:szCs w:val="44"/>
        </w:rPr>
      </w:pPr>
    </w:p>
    <w:p w14:paraId="0FC14059">
      <w:pPr>
        <w:jc w:val="center"/>
        <w:rPr>
          <w:rFonts w:hint="default" w:ascii="Times New Roman" w:hAnsi="Times New Roman" w:eastAsia="楷体_GB2312" w:cs="Times New Roman"/>
          <w:b/>
          <w:sz w:val="32"/>
          <w:szCs w:val="32"/>
        </w:rPr>
      </w:pPr>
    </w:p>
    <w:p w14:paraId="37B820E4">
      <w:pPr>
        <w:jc w:val="center"/>
        <w:rPr>
          <w:rFonts w:hint="default" w:ascii="Times New Roman" w:hAnsi="Times New Roman" w:eastAsia="楷体_GB2312" w:cs="Times New Roman"/>
          <w:b/>
          <w:sz w:val="32"/>
          <w:szCs w:val="32"/>
        </w:rPr>
      </w:pPr>
    </w:p>
    <w:p w14:paraId="158DCE45">
      <w:pPr>
        <w:jc w:val="center"/>
        <w:rPr>
          <w:rFonts w:hint="default" w:ascii="Times New Roman" w:hAnsi="Times New Roman" w:eastAsia="楷体_GB2312" w:cs="Times New Roman"/>
          <w:b/>
          <w:sz w:val="32"/>
          <w:szCs w:val="32"/>
        </w:rPr>
      </w:pPr>
    </w:p>
    <w:p w14:paraId="1AB3C2BE">
      <w:pPr>
        <w:jc w:val="center"/>
        <w:rPr>
          <w:rFonts w:hint="default" w:ascii="Times New Roman" w:hAnsi="Times New Roman" w:eastAsia="楷体_GB2312" w:cs="Times New Roman"/>
          <w:b/>
          <w:sz w:val="32"/>
          <w:szCs w:val="32"/>
        </w:rPr>
      </w:pPr>
    </w:p>
    <w:p w14:paraId="179D9460">
      <w:pPr>
        <w:jc w:val="center"/>
        <w:rPr>
          <w:rFonts w:hint="default" w:ascii="Times New Roman" w:hAnsi="Times New Roman" w:eastAsia="楷体_GB2312" w:cs="Times New Roman"/>
          <w:b/>
          <w:sz w:val="32"/>
          <w:szCs w:val="32"/>
        </w:rPr>
      </w:pPr>
    </w:p>
    <w:p w14:paraId="35B6D605">
      <w:pPr>
        <w:jc w:val="center"/>
        <w:rPr>
          <w:rFonts w:hint="default" w:ascii="Times New Roman" w:hAnsi="Times New Roman" w:eastAsia="楷体_GB2312" w:cs="Times New Roman"/>
          <w:b/>
          <w:sz w:val="32"/>
          <w:szCs w:val="32"/>
        </w:rPr>
      </w:pPr>
    </w:p>
    <w:p w14:paraId="3DEB85F0">
      <w:pPr>
        <w:jc w:val="center"/>
        <w:rPr>
          <w:rFonts w:hint="default" w:ascii="Times New Roman" w:hAnsi="Times New Roman" w:eastAsia="黑体" w:cs="Times New Roman"/>
          <w:sz w:val="32"/>
          <w:szCs w:val="32"/>
        </w:rPr>
      </w:pPr>
    </w:p>
    <w:p w14:paraId="387C1F00">
      <w:pPr>
        <w:jc w:val="center"/>
        <w:rPr>
          <w:rFonts w:hint="default" w:ascii="Times New Roman" w:hAnsi="Times New Roman" w:eastAsia="黑体" w:cs="Times New Roman"/>
          <w:sz w:val="32"/>
          <w:szCs w:val="32"/>
        </w:rPr>
      </w:pPr>
    </w:p>
    <w:p w14:paraId="09D65BEA">
      <w:pPr>
        <w:jc w:val="both"/>
        <w:rPr>
          <w:rFonts w:hint="default" w:ascii="Times New Roman" w:hAnsi="Times New Roman" w:eastAsia="黑体" w:cs="Times New Roman"/>
          <w:sz w:val="32"/>
          <w:szCs w:val="32"/>
        </w:rPr>
      </w:pPr>
    </w:p>
    <w:p w14:paraId="07E62AD4">
      <w:pPr>
        <w:spacing w:line="600" w:lineRule="exact"/>
        <w:jc w:val="center"/>
        <w:rPr>
          <w:rFonts w:hint="eastAsia" w:asciiTheme="majorEastAsia" w:hAnsiTheme="majorEastAsia" w:eastAsiaTheme="majorEastAsia" w:cstheme="majorEastAsia"/>
          <w:b/>
          <w:bCs/>
          <w:sz w:val="32"/>
          <w:szCs w:val="32"/>
          <w:u w:val="single"/>
        </w:rPr>
      </w:pPr>
      <w:r>
        <w:rPr>
          <w:rFonts w:hint="eastAsia" w:asciiTheme="majorEastAsia" w:hAnsiTheme="majorEastAsia" w:eastAsiaTheme="majorEastAsia" w:cstheme="majorEastAsia"/>
          <w:b/>
          <w:bCs/>
          <w:sz w:val="32"/>
          <w:szCs w:val="32"/>
        </w:rPr>
        <w:t>单位名称：</w:t>
      </w:r>
      <w:r>
        <w:rPr>
          <w:rFonts w:hint="eastAsia" w:asciiTheme="majorEastAsia" w:hAnsiTheme="majorEastAsia" w:eastAsiaTheme="majorEastAsia" w:cstheme="majorEastAsia"/>
          <w:b/>
          <w:bCs/>
          <w:color w:val="000000"/>
          <w:sz w:val="32"/>
          <w:szCs w:val="32"/>
          <w:u w:val="single"/>
        </w:rPr>
        <w:t>岳阳市城市管理综合行政执法支队</w:t>
      </w:r>
    </w:p>
    <w:p w14:paraId="10F28A48">
      <w:pPr>
        <w:spacing w:line="600" w:lineRule="exact"/>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lang w:val="en-US" w:eastAsia="zh-CN"/>
        </w:rPr>
        <w:t>2026</w:t>
      </w:r>
      <w:r>
        <w:rPr>
          <w:rFonts w:hint="eastAsia" w:asciiTheme="majorEastAsia" w:hAnsiTheme="majorEastAsia" w:eastAsiaTheme="majorEastAsia" w:cstheme="majorEastAsia"/>
          <w:b/>
          <w:bCs/>
          <w:sz w:val="32"/>
          <w:szCs w:val="32"/>
        </w:rPr>
        <w:t>年</w:t>
      </w:r>
      <w:r>
        <w:rPr>
          <w:rFonts w:hint="eastAsia" w:asciiTheme="majorEastAsia" w:hAnsiTheme="majorEastAsia" w:eastAsiaTheme="majorEastAsia" w:cstheme="majorEastAsia"/>
          <w:b/>
          <w:bCs/>
          <w:sz w:val="32"/>
          <w:szCs w:val="32"/>
          <w:lang w:val="en-US" w:eastAsia="zh-CN"/>
        </w:rPr>
        <w:t>6</w:t>
      </w:r>
      <w:r>
        <w:rPr>
          <w:rFonts w:hint="eastAsia" w:asciiTheme="majorEastAsia" w:hAnsiTheme="majorEastAsia" w:eastAsiaTheme="majorEastAsia" w:cstheme="majorEastAsia"/>
          <w:b/>
          <w:bCs/>
          <w:sz w:val="32"/>
          <w:szCs w:val="32"/>
        </w:rPr>
        <w:t>月</w:t>
      </w:r>
      <w:r>
        <w:rPr>
          <w:rFonts w:hint="eastAsia" w:asciiTheme="majorEastAsia" w:hAnsiTheme="majorEastAsia" w:eastAsiaTheme="majorEastAsia" w:cstheme="majorEastAsia"/>
          <w:b/>
          <w:bCs/>
          <w:sz w:val="32"/>
          <w:szCs w:val="32"/>
          <w:lang w:val="en-US" w:eastAsia="zh-CN"/>
        </w:rPr>
        <w:t>15</w:t>
      </w:r>
      <w:r>
        <w:rPr>
          <w:rFonts w:hint="eastAsia" w:asciiTheme="majorEastAsia" w:hAnsiTheme="majorEastAsia" w:eastAsiaTheme="majorEastAsia" w:cstheme="majorEastAsia"/>
          <w:b/>
          <w:bCs/>
          <w:sz w:val="32"/>
          <w:szCs w:val="32"/>
        </w:rPr>
        <w:t>日</w:t>
      </w:r>
    </w:p>
    <w:p w14:paraId="305068BD">
      <w:pPr>
        <w:jc w:val="center"/>
        <w:rPr>
          <w:rFonts w:hint="default" w:ascii="Times New Roman" w:hAnsi="Times New Roman" w:eastAsia="仿宋_GB2312" w:cs="Times New Roman"/>
          <w:sz w:val="32"/>
          <w:szCs w:val="32"/>
        </w:rPr>
      </w:pPr>
    </w:p>
    <w:p w14:paraId="0789F7FB">
      <w:pPr>
        <w:jc w:val="center"/>
        <w:rPr>
          <w:rFonts w:hint="default" w:ascii="Times New Roman" w:hAnsi="Times New Roman" w:eastAsia="仿宋_GB2312" w:cs="Times New Roman"/>
          <w:sz w:val="32"/>
          <w:szCs w:val="32"/>
        </w:rPr>
        <w:sectPr>
          <w:pgSz w:w="11906" w:h="16838"/>
          <w:pgMar w:top="1440" w:right="1689" w:bottom="1440" w:left="1746" w:header="851" w:footer="992" w:gutter="0"/>
          <w:cols w:space="425" w:num="1"/>
          <w:docGrid w:type="lines" w:linePitch="312" w:charSpace="0"/>
        </w:sectPr>
      </w:pPr>
    </w:p>
    <w:p w14:paraId="34F0BB15">
      <w:pPr>
        <w:jc w:val="center"/>
        <w:rPr>
          <w:rFonts w:hint="default" w:ascii="Times New Roman" w:hAnsi="Times New Roman" w:eastAsia="仿宋_GB2312" w:cs="Times New Roman"/>
          <w:sz w:val="32"/>
          <w:szCs w:val="32"/>
        </w:rPr>
      </w:pPr>
    </w:p>
    <w:p w14:paraId="598DC7CC">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color w:val="000000"/>
          <w:sz w:val="44"/>
          <w:szCs w:val="44"/>
        </w:rPr>
        <w:t>岳阳市城市管理综合行政执法支队</w:t>
      </w:r>
    </w:p>
    <w:p w14:paraId="650384ED">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整体支出绩效自评报告</w:t>
      </w:r>
    </w:p>
    <w:p w14:paraId="6A8E34AB">
      <w:pPr>
        <w:keepNext w:val="0"/>
        <w:keepLines w:val="0"/>
        <w:pageBreakBefore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rPr>
      </w:pPr>
    </w:p>
    <w:p w14:paraId="72A5A359">
      <w:pPr>
        <w:keepNext w:val="0"/>
        <w:keepLines w:val="0"/>
        <w:pageBreakBefore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单位基本情况</w:t>
      </w:r>
    </w:p>
    <w:p w14:paraId="1F9B9C52">
      <w:pPr>
        <w:keepNext w:val="0"/>
        <w:keepLines w:val="0"/>
        <w:pageBreakBefore w:val="0"/>
        <w:widowControl/>
        <w:kinsoku/>
        <w:wordWrap/>
        <w:overflowPunct/>
        <w:topLinePunct w:val="0"/>
        <w:bidi w:val="0"/>
        <w:adjustRightInd/>
        <w:snapToGrid/>
        <w:spacing w:line="600" w:lineRule="exact"/>
        <w:ind w:firstLine="643" w:firstLineChars="200"/>
        <w:jc w:val="left"/>
        <w:textAlignment w:val="auto"/>
        <w:rPr>
          <w:rFonts w:hint="eastAsia"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rPr>
        <w:t>（一）职能职责</w:t>
      </w:r>
    </w:p>
    <w:p w14:paraId="50ADB80D">
      <w:pPr>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岳阳市城</w:t>
      </w:r>
      <w:r>
        <w:rPr>
          <w:rFonts w:hint="eastAsia" w:ascii="CESI仿宋-GB2312" w:hAnsi="CESI仿宋-GB2312" w:eastAsia="CESI仿宋-GB2312" w:cs="CESI仿宋-GB2312"/>
          <w:sz w:val="32"/>
          <w:szCs w:val="32"/>
          <w:lang w:eastAsia="zh-CN"/>
        </w:rPr>
        <w:t>市</w:t>
      </w:r>
      <w:r>
        <w:rPr>
          <w:rFonts w:hint="eastAsia" w:ascii="CESI仿宋-GB2312" w:hAnsi="CESI仿宋-GB2312" w:eastAsia="CESI仿宋-GB2312" w:cs="CESI仿宋-GB2312"/>
          <w:sz w:val="32"/>
          <w:szCs w:val="32"/>
        </w:rPr>
        <w:t>管</w:t>
      </w:r>
      <w:r>
        <w:rPr>
          <w:rFonts w:hint="eastAsia" w:ascii="CESI仿宋-GB2312" w:hAnsi="CESI仿宋-GB2312" w:eastAsia="CESI仿宋-GB2312" w:cs="CESI仿宋-GB2312"/>
          <w:sz w:val="32"/>
          <w:szCs w:val="32"/>
          <w:lang w:eastAsia="zh-CN"/>
        </w:rPr>
        <w:t>理</w:t>
      </w:r>
      <w:r>
        <w:rPr>
          <w:rFonts w:hint="eastAsia" w:ascii="CESI仿宋-GB2312" w:hAnsi="CESI仿宋-GB2312" w:eastAsia="CESI仿宋-GB2312" w:cs="CESI仿宋-GB2312"/>
          <w:sz w:val="32"/>
          <w:szCs w:val="32"/>
        </w:rPr>
        <w:t>综合行政执法支队以市城管局名义对外开展行政执法活动，在履行职责过程中坚持和加强党对城市管理综合行政执法工作的集中统一领导</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主要职责是：</w:t>
      </w:r>
    </w:p>
    <w:p w14:paraId="0B489A37">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1、贯彻执行国家、省、市和上级主管部门有关城市管理方面的法律、法规、规章和政策规定；参与拟订城市管理综合行政执法工作方面的规范性文件、总体规划和年度计划，并组织实施；</w:t>
      </w:r>
    </w:p>
    <w:p w14:paraId="7A23ECE6">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2、承担市本级和市辖区范围内(含岳阳经济技术开发区和城陵矶新港区)的城市管理综合行政执法工作；协助市城管局对县(市)、南湖新区、屈原管理区城市管理综合行政执法队伍建设和综合行政执法开展指导、监督和考核工作；</w:t>
      </w:r>
    </w:p>
    <w:p w14:paraId="7F0C5C61">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3、承担权限范围内市政公用设施运行管理、市容环境卫生管理、园林绿化管理、城镇燃气管理等城市管理方面的行政处罚及相应的行政强制等行政执法工作；</w:t>
      </w:r>
    </w:p>
    <w:p w14:paraId="73326B92">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4、承担权限范围内住房和城乡建设领域法律、法规和规章规定的行政处罚及相应的行政强制等行政执法工作；</w:t>
      </w:r>
    </w:p>
    <w:p w14:paraId="578D8D4B">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5、承担权限范围内向城市河道和水域倾倒废弃物和垃圾、违规取土、城市河道和水域违法建(构)筑物拆除等水利管理方面的行政处罚及相应的行政强制等行政执法工作；</w:t>
      </w:r>
    </w:p>
    <w:p w14:paraId="0A21458A">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6、承担权限范围内社会生活噪声污染、建筑施工噪声污染、建筑施工扬尘污染、餐饮服务业油烟污染、露天烧烤污染、城市焚烧沥青塑料垃圾等烟尘和恶臭污染、燃放烟花爆竹污染等生态环境保护管理方面的行政处罚及相应的行政强制等行政执法工作；</w:t>
      </w:r>
    </w:p>
    <w:p w14:paraId="332B76A5">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7、承担权限范围内户外公共场所无照经营、食品销售和餐饮摊点无证经营，以及户外违法回收贩卖药品等市场监督管理方面的行政处罚及相应的行政强制等行政执法工作；</w:t>
      </w:r>
    </w:p>
    <w:p w14:paraId="2CDB731F">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8、承担权限范围内侵占城市道路、违法停放车辆等公安交通管理方面的行政处罚及相应的行政强制等行政执法工作；</w:t>
      </w:r>
    </w:p>
    <w:p w14:paraId="7072CB17">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9、承担《湖南省人民政府关于调整岳阳火车站地区相对集中行政处罚权的批复》(湘政函[2016]22号)确定的行政处罚及相应的行政强制等行政执法工作；</w:t>
      </w:r>
    </w:p>
    <w:p w14:paraId="454BA517">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10、承担全市城市管理综合行政执法跨区域及重大复杂违法违规案件的查处工作；组织或参与跨行业、跨区域联合执法行动；</w:t>
      </w:r>
    </w:p>
    <w:p w14:paraId="1AE84EEA">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11、承担权限范围内“牛皮癣”的治理和清除;承担权限范围内“门前三包”及燃放烟花爆竹的指导、监督和考核工作；</w:t>
      </w:r>
    </w:p>
    <w:p w14:paraId="64AB91A7">
      <w:pPr>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12、承担本单位的安全生产工作；</w:t>
      </w:r>
    </w:p>
    <w:p w14:paraId="15AB028F">
      <w:pPr>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13、完成市城管局交办的其他工作。</w:t>
      </w:r>
    </w:p>
    <w:p w14:paraId="245C332B">
      <w:pPr>
        <w:keepNext w:val="0"/>
        <w:keepLines w:val="0"/>
        <w:pageBreakBefore w:val="0"/>
        <w:widowControl/>
        <w:kinsoku/>
        <w:wordWrap/>
        <w:overflowPunct/>
        <w:topLinePunct w:val="0"/>
        <w:bidi w:val="0"/>
        <w:adjustRightInd/>
        <w:snapToGrid/>
        <w:spacing w:line="600" w:lineRule="exact"/>
        <w:ind w:firstLine="643" w:firstLineChars="200"/>
        <w:textAlignment w:val="auto"/>
        <w:rPr>
          <w:rFonts w:hint="eastAsia"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rPr>
        <w:t>（二）机构设置</w:t>
      </w:r>
    </w:p>
    <w:p w14:paraId="5E06C05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Cs/>
          <w:sz w:val="32"/>
          <w:szCs w:val="32"/>
          <w:lang w:val="en-US" w:eastAsia="zh-CN"/>
        </w:rPr>
      </w:pPr>
      <w:bookmarkStart w:id="0" w:name="DY_BGJYSM"/>
      <w:r>
        <w:rPr>
          <w:rFonts w:hint="eastAsia" w:ascii="仿宋_GB2312" w:hAnsi="仿宋_GB2312" w:eastAsia="仿宋_GB2312" w:cs="仿宋_GB2312"/>
          <w:bCs/>
          <w:sz w:val="32"/>
          <w:szCs w:val="32"/>
          <w:lang w:val="en-US" w:eastAsia="zh-CN"/>
        </w:rPr>
        <w:t>市城管综合执法支队为市城管局直属参公事业单位，支队设下列5个内设机构，规格为副科级：综合科、人事科、财务科、法制科、执法协调科，党委办公室按章程设置，退休人员管理服务科按相关规定设置。支队设下列8个大队(其中6个为副科级)：岳阳楼一大队、岳阳楼二大队、岳阳楼三大队、岳阳楼四大队、云溪大队、君山大队（以上六个大队为派驻大队）、住房建设执法大队、站场大队。</w:t>
      </w:r>
    </w:p>
    <w:bookmarkEnd w:id="0"/>
    <w:p w14:paraId="26127530">
      <w:pPr>
        <w:pStyle w:val="11"/>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二、一般公共预算支出情况</w:t>
      </w:r>
    </w:p>
    <w:p w14:paraId="0E204216">
      <w:pPr>
        <w:pStyle w:val="11"/>
        <w:keepNext w:val="0"/>
        <w:keepLines w:val="0"/>
        <w:pageBreakBefore w:val="0"/>
        <w:widowControl/>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（一）基本支出情况</w:t>
      </w:r>
    </w:p>
    <w:p w14:paraId="6BB073B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,支队</w:t>
      </w:r>
      <w:r>
        <w:rPr>
          <w:rFonts w:hint="eastAsia" w:ascii="仿宋_GB2312" w:hAnsi="仿宋_GB2312" w:eastAsia="仿宋_GB2312" w:cs="仿宋_GB2312"/>
          <w:bCs/>
          <w:sz w:val="32"/>
          <w:szCs w:val="32"/>
        </w:rPr>
        <w:t>基本支出</w:t>
      </w:r>
      <w:r>
        <w:rPr>
          <w:rFonts w:hint="eastAsia" w:ascii="仿宋_GB2312" w:hAnsi="仿宋_GB2312" w:eastAsia="仿宋_GB2312" w:cs="仿宋_GB2312"/>
          <w:bCs/>
          <w:sz w:val="32"/>
          <w:szCs w:val="32"/>
          <w:lang w:val="en-US" w:eastAsia="zh-CN"/>
        </w:rPr>
        <w:t>总额为7574.22</w:t>
      </w:r>
      <w:r>
        <w:rPr>
          <w:rFonts w:hint="eastAsia" w:ascii="仿宋_GB2312" w:hAnsi="仿宋_GB2312" w:eastAsia="仿宋_GB2312" w:cs="仿宋_GB2312"/>
          <w:bCs/>
          <w:sz w:val="32"/>
          <w:szCs w:val="32"/>
        </w:rPr>
        <w:t>万元，其中人员经费支出</w:t>
      </w:r>
      <w:r>
        <w:rPr>
          <w:rFonts w:hint="eastAsia" w:ascii="仿宋_GB2312" w:hAnsi="仿宋_GB2312" w:eastAsia="仿宋_GB2312" w:cs="仿宋_GB2312"/>
          <w:bCs/>
          <w:sz w:val="32"/>
          <w:szCs w:val="32"/>
          <w:lang w:val="en-US" w:eastAsia="zh-CN"/>
        </w:rPr>
        <w:t>7027.80</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主要用于</w:t>
      </w:r>
      <w:r>
        <w:rPr>
          <w:rFonts w:hint="eastAsia" w:ascii="仿宋_GB2312" w:hAnsi="仿宋_GB2312" w:eastAsia="仿宋_GB2312" w:cs="仿宋_GB2312"/>
          <w:bCs/>
          <w:sz w:val="32"/>
          <w:szCs w:val="32"/>
          <w:highlight w:val="none"/>
          <w:lang w:val="en-US" w:eastAsia="zh-CN"/>
        </w:rPr>
        <w:t>职工基本工资、津补贴、绩效工资及社</w:t>
      </w:r>
      <w:r>
        <w:rPr>
          <w:rFonts w:hint="eastAsia" w:ascii="仿宋_GB2312" w:hAnsi="仿宋_GB2312" w:eastAsia="仿宋_GB2312" w:cs="仿宋_GB2312"/>
          <w:bCs/>
          <w:strike w:val="0"/>
          <w:dstrike w:val="0"/>
          <w:color w:val="auto"/>
          <w:sz w:val="32"/>
          <w:szCs w:val="32"/>
          <w:highlight w:val="none"/>
          <w:lang w:val="en-US" w:eastAsia="zh-CN"/>
        </w:rPr>
        <w:t>保保障</w:t>
      </w:r>
      <w:r>
        <w:rPr>
          <w:rFonts w:hint="eastAsia" w:ascii="仿宋_GB2312" w:hAnsi="仿宋_GB2312" w:eastAsia="仿宋_GB2312" w:cs="仿宋_GB2312"/>
          <w:bCs/>
          <w:sz w:val="32"/>
          <w:szCs w:val="32"/>
          <w:highlight w:val="none"/>
          <w:lang w:val="en-US" w:eastAsia="zh-CN"/>
        </w:rPr>
        <w:t>缴费等支出。</w:t>
      </w:r>
      <w:r>
        <w:rPr>
          <w:rFonts w:hint="eastAsia" w:ascii="仿宋_GB2312" w:hAnsi="仿宋_GB2312" w:eastAsia="仿宋_GB2312" w:cs="仿宋_GB2312"/>
          <w:bCs/>
          <w:sz w:val="32"/>
          <w:szCs w:val="32"/>
        </w:rPr>
        <w:t>公用</w:t>
      </w:r>
      <w:r>
        <w:rPr>
          <w:rFonts w:hint="eastAsia" w:ascii="仿宋_GB2312" w:hAnsi="仿宋_GB2312" w:eastAsia="仿宋_GB2312" w:cs="仿宋_GB2312"/>
          <w:bCs/>
          <w:sz w:val="32"/>
          <w:szCs w:val="32"/>
          <w:lang w:val="en-US" w:eastAsia="zh-CN"/>
        </w:rPr>
        <w:t>经费</w:t>
      </w:r>
      <w:r>
        <w:rPr>
          <w:rFonts w:hint="eastAsia" w:ascii="仿宋_GB2312" w:hAnsi="仿宋_GB2312" w:eastAsia="仿宋_GB2312" w:cs="仿宋_GB2312"/>
          <w:bCs/>
          <w:sz w:val="32"/>
          <w:szCs w:val="32"/>
        </w:rPr>
        <w:t>支出</w:t>
      </w:r>
      <w:r>
        <w:rPr>
          <w:rFonts w:hint="eastAsia" w:ascii="仿宋_GB2312" w:hAnsi="仿宋_GB2312" w:eastAsia="仿宋_GB2312" w:cs="仿宋_GB2312"/>
          <w:bCs/>
          <w:sz w:val="32"/>
          <w:szCs w:val="32"/>
          <w:lang w:val="en-US" w:eastAsia="zh-CN"/>
        </w:rPr>
        <w:t>546.42</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主要用于办公费、印刷费、水电费、邮电费、物业费、差旅费、维修（护）费、租赁费、会议费、培训费、公务接待费、劳务费、委托业务费、工会经费、公务用车运行费、其他交通费用、其他商品和服务支出等单位运转费用支出。</w:t>
      </w:r>
    </w:p>
    <w:p w14:paraId="6342EF6D">
      <w:pPr>
        <w:keepNext w:val="0"/>
        <w:keepLines w:val="0"/>
        <w:pageBreakBefore w:val="0"/>
        <w:widowControl w:val="0"/>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楷体_GB2312" w:cs="Times New Roman"/>
          <w:b/>
          <w:color w:val="auto"/>
          <w:sz w:val="32"/>
          <w:szCs w:val="32"/>
        </w:rPr>
      </w:pPr>
      <w:r>
        <w:rPr>
          <w:rFonts w:hint="eastAsia" w:ascii="仿宋_GB2312" w:hAnsi="仿宋_GB2312" w:eastAsia="仿宋_GB2312" w:cs="仿宋_GB2312"/>
          <w:bCs/>
          <w:color w:val="auto"/>
          <w:sz w:val="32"/>
          <w:szCs w:val="32"/>
        </w:rPr>
        <w:t>本年度公务接待费</w:t>
      </w:r>
      <w:r>
        <w:rPr>
          <w:rFonts w:hint="eastAsia" w:ascii="仿宋_GB2312" w:hAnsi="仿宋_GB2312" w:eastAsia="仿宋_GB2312" w:cs="仿宋_GB2312"/>
          <w:bCs/>
          <w:color w:val="auto"/>
          <w:sz w:val="32"/>
          <w:szCs w:val="32"/>
          <w:lang w:eastAsia="zh-CN"/>
        </w:rPr>
        <w:t>预算</w:t>
      </w:r>
      <w:r>
        <w:rPr>
          <w:rFonts w:hint="eastAsia" w:ascii="仿宋_GB2312" w:hAnsi="仿宋_GB2312" w:eastAsia="仿宋_GB2312" w:cs="仿宋_GB2312"/>
          <w:bCs/>
          <w:color w:val="auto"/>
          <w:sz w:val="32"/>
          <w:szCs w:val="32"/>
          <w:lang w:val="en-US" w:eastAsia="zh-CN"/>
        </w:rPr>
        <w:t>与实际</w:t>
      </w:r>
      <w:r>
        <w:rPr>
          <w:rFonts w:hint="eastAsia" w:ascii="仿宋_GB2312" w:hAnsi="仿宋_GB2312" w:eastAsia="仿宋_GB2312" w:cs="仿宋_GB2312"/>
          <w:bCs/>
          <w:color w:val="auto"/>
          <w:sz w:val="32"/>
          <w:szCs w:val="32"/>
        </w:rPr>
        <w:t>支出</w:t>
      </w:r>
      <w:r>
        <w:rPr>
          <w:rFonts w:hint="eastAsia" w:ascii="仿宋_GB2312" w:hAnsi="仿宋_GB2312" w:eastAsia="仿宋_GB2312" w:cs="仿宋_GB2312"/>
          <w:bCs/>
          <w:color w:val="auto"/>
          <w:sz w:val="32"/>
          <w:szCs w:val="32"/>
          <w:lang w:eastAsia="zh-CN"/>
        </w:rPr>
        <w:t>金额均为</w:t>
      </w:r>
      <w:r>
        <w:rPr>
          <w:rFonts w:hint="eastAsia" w:ascii="仿宋_GB2312" w:hAnsi="仿宋_GB2312" w:eastAsia="仿宋_GB2312" w:cs="仿宋_GB2312"/>
          <w:bCs/>
          <w:color w:val="auto"/>
          <w:sz w:val="32"/>
          <w:szCs w:val="32"/>
          <w:lang w:val="en-US" w:eastAsia="zh-CN"/>
        </w:rPr>
        <w:t>0.00</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val="en-US" w:eastAsia="zh-CN"/>
        </w:rPr>
        <w:t>公务用车购置及</w:t>
      </w:r>
      <w:r>
        <w:rPr>
          <w:rFonts w:hint="eastAsia" w:ascii="仿宋_GB2312" w:hAnsi="仿宋_GB2312" w:eastAsia="仿宋_GB2312" w:cs="仿宋_GB2312"/>
          <w:bCs/>
          <w:color w:val="auto"/>
          <w:sz w:val="32"/>
          <w:szCs w:val="32"/>
        </w:rPr>
        <w:t>公务用车运行维护费支出</w:t>
      </w:r>
      <w:r>
        <w:rPr>
          <w:rFonts w:hint="eastAsia" w:ascii="仿宋_GB2312" w:hAnsi="仿宋_GB2312" w:eastAsia="仿宋_GB2312" w:cs="仿宋_GB2312"/>
          <w:bCs/>
          <w:color w:val="auto"/>
          <w:sz w:val="32"/>
          <w:szCs w:val="32"/>
          <w:lang w:eastAsia="zh-CN"/>
        </w:rPr>
        <w:t>预算金额为</w:t>
      </w:r>
      <w:r>
        <w:rPr>
          <w:rFonts w:hint="eastAsia" w:ascii="仿宋_GB2312" w:hAnsi="仿宋_GB2312" w:eastAsia="仿宋_GB2312" w:cs="仿宋_GB2312"/>
          <w:bCs/>
          <w:color w:val="auto"/>
          <w:sz w:val="32"/>
          <w:szCs w:val="32"/>
          <w:lang w:val="en-US" w:eastAsia="zh-CN"/>
        </w:rPr>
        <w:t>30.00万元，公务用车购置及</w:t>
      </w:r>
      <w:r>
        <w:rPr>
          <w:rFonts w:hint="eastAsia" w:ascii="仿宋_GB2312" w:hAnsi="仿宋_GB2312" w:eastAsia="仿宋_GB2312" w:cs="仿宋_GB2312"/>
          <w:bCs/>
          <w:color w:val="auto"/>
          <w:sz w:val="32"/>
          <w:szCs w:val="32"/>
        </w:rPr>
        <w:t>公务用车运行维护费</w:t>
      </w:r>
      <w:r>
        <w:rPr>
          <w:rFonts w:hint="eastAsia" w:ascii="仿宋_GB2312" w:hAnsi="仿宋_GB2312" w:eastAsia="仿宋_GB2312" w:cs="仿宋_GB2312"/>
          <w:bCs/>
          <w:color w:val="auto"/>
          <w:sz w:val="32"/>
          <w:szCs w:val="32"/>
          <w:lang w:val="en-US" w:eastAsia="zh-CN"/>
        </w:rPr>
        <w:t>实际支出金额为23.07</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val="en-US" w:eastAsia="zh-CN"/>
        </w:rPr>
        <w:t>（其中公务用车购置支出0.00万元）</w:t>
      </w:r>
      <w:r>
        <w:rPr>
          <w:rFonts w:hint="eastAsia" w:ascii="仿宋_GB2312" w:hAnsi="仿宋_GB2312" w:eastAsia="仿宋_GB2312" w:cs="仿宋_GB2312"/>
          <w:bCs/>
          <w:color w:val="auto"/>
          <w:sz w:val="32"/>
          <w:szCs w:val="32"/>
          <w:lang w:eastAsia="zh-CN"/>
        </w:rPr>
        <w:t>，因</w:t>
      </w:r>
      <w:r>
        <w:rPr>
          <w:rFonts w:hint="eastAsia" w:ascii="仿宋_GB2312" w:hAnsi="仿宋_GB2312" w:eastAsia="仿宋_GB2312" w:cs="仿宋_GB2312"/>
          <w:bCs/>
          <w:color w:val="auto"/>
          <w:sz w:val="32"/>
          <w:szCs w:val="32"/>
        </w:rPr>
        <w:t>公出国</w:t>
      </w:r>
      <w:r>
        <w:rPr>
          <w:rFonts w:hint="eastAsia" w:ascii="仿宋_GB2312" w:hAnsi="仿宋_GB2312" w:eastAsia="仿宋_GB2312" w:cs="仿宋_GB2312"/>
          <w:bCs/>
          <w:color w:val="auto"/>
          <w:sz w:val="32"/>
          <w:szCs w:val="32"/>
          <w:lang w:eastAsia="zh-CN"/>
        </w:rPr>
        <w:t>费用</w:t>
      </w:r>
      <w:r>
        <w:rPr>
          <w:rFonts w:hint="eastAsia" w:ascii="仿宋_GB2312" w:hAnsi="仿宋_GB2312" w:eastAsia="仿宋_GB2312" w:cs="仿宋_GB2312"/>
          <w:bCs/>
          <w:color w:val="auto"/>
          <w:sz w:val="32"/>
          <w:szCs w:val="32"/>
          <w:lang w:val="en-US" w:eastAsia="zh-CN"/>
        </w:rPr>
        <w:t>预算与实际</w:t>
      </w:r>
      <w:r>
        <w:rPr>
          <w:rFonts w:hint="eastAsia" w:ascii="仿宋_GB2312" w:hAnsi="仿宋_GB2312" w:eastAsia="仿宋_GB2312" w:cs="仿宋_GB2312"/>
          <w:bCs/>
          <w:color w:val="auto"/>
          <w:sz w:val="32"/>
          <w:szCs w:val="32"/>
        </w:rPr>
        <w:t>支出</w:t>
      </w:r>
      <w:r>
        <w:rPr>
          <w:rFonts w:hint="eastAsia" w:ascii="仿宋_GB2312" w:hAnsi="仿宋_GB2312" w:eastAsia="仿宋_GB2312" w:cs="仿宋_GB2312"/>
          <w:bCs/>
          <w:color w:val="auto"/>
          <w:sz w:val="32"/>
          <w:szCs w:val="32"/>
          <w:lang w:eastAsia="zh-CN"/>
        </w:rPr>
        <w:t>金额</w:t>
      </w:r>
      <w:r>
        <w:rPr>
          <w:rFonts w:hint="eastAsia" w:ascii="仿宋_GB2312" w:hAnsi="仿宋_GB2312" w:eastAsia="仿宋_GB2312" w:cs="仿宋_GB2312"/>
          <w:bCs/>
          <w:color w:val="auto"/>
          <w:sz w:val="32"/>
          <w:szCs w:val="32"/>
          <w:lang w:val="en-US" w:eastAsia="zh-CN"/>
        </w:rPr>
        <w:t>均为</w:t>
      </w:r>
      <w:r>
        <w:rPr>
          <w:rFonts w:hint="eastAsia" w:ascii="仿宋_GB2312" w:hAnsi="仿宋_GB2312" w:eastAsia="仿宋_GB2312" w:cs="仿宋_GB2312"/>
          <w:bCs/>
          <w:color w:val="auto"/>
          <w:sz w:val="32"/>
          <w:szCs w:val="32"/>
        </w:rPr>
        <w:t>0</w:t>
      </w:r>
      <w:r>
        <w:rPr>
          <w:rFonts w:hint="eastAsia" w:ascii="仿宋_GB2312" w:hAnsi="仿宋_GB2312" w:eastAsia="仿宋_GB2312" w:cs="仿宋_GB2312"/>
          <w:bCs/>
          <w:color w:val="auto"/>
          <w:sz w:val="32"/>
          <w:szCs w:val="32"/>
          <w:lang w:val="en-US" w:eastAsia="zh-CN"/>
        </w:rPr>
        <w:t>.00</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eastAsia="zh-CN"/>
        </w:rPr>
        <w:t>，“三公经费”支出</w:t>
      </w:r>
      <w:r>
        <w:rPr>
          <w:rFonts w:hint="eastAsia" w:ascii="仿宋_GB2312" w:hAnsi="仿宋_GB2312" w:eastAsia="仿宋_GB2312" w:cs="仿宋_GB2312"/>
          <w:bCs/>
          <w:color w:val="auto"/>
          <w:sz w:val="32"/>
          <w:szCs w:val="32"/>
          <w:lang w:val="en-US" w:eastAsia="zh-CN"/>
        </w:rPr>
        <w:t>总金额为23.07万元，</w:t>
      </w:r>
      <w:r>
        <w:rPr>
          <w:rFonts w:hint="eastAsia" w:ascii="仿宋_GB2312" w:hAnsi="仿宋_GB2312" w:eastAsia="仿宋_GB2312" w:cs="仿宋_GB2312"/>
          <w:bCs/>
          <w:color w:val="auto"/>
          <w:sz w:val="32"/>
          <w:szCs w:val="32"/>
          <w:lang w:eastAsia="zh-CN"/>
        </w:rPr>
        <w:t>控制在年初预算之内</w:t>
      </w:r>
      <w:r>
        <w:rPr>
          <w:rFonts w:hint="eastAsia" w:ascii="仿宋_GB2312" w:hAnsi="仿宋_GB2312" w:eastAsia="仿宋_GB2312" w:cs="仿宋_GB2312"/>
          <w:bCs/>
          <w:color w:val="auto"/>
          <w:sz w:val="32"/>
          <w:szCs w:val="32"/>
        </w:rPr>
        <w:t>。</w:t>
      </w:r>
    </w:p>
    <w:p w14:paraId="4290DC70">
      <w:pPr>
        <w:pStyle w:val="11"/>
        <w:keepNext w:val="0"/>
        <w:keepLines w:val="0"/>
        <w:pageBreakBefore w:val="0"/>
        <w:widowControl/>
        <w:numPr>
          <w:ilvl w:val="0"/>
          <w:numId w:val="2"/>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项目支出情况</w:t>
      </w:r>
    </w:p>
    <w:p w14:paraId="3DC6A99F">
      <w:pPr>
        <w:keepNext w:val="0"/>
        <w:keepLines w:val="0"/>
        <w:pageBreakBefore w:val="0"/>
        <w:wordWrap/>
        <w:overflowPunct/>
        <w:topLinePunct w:val="0"/>
        <w:bidi w:val="0"/>
        <w:spacing w:line="600" w:lineRule="exact"/>
        <w:ind w:left="0" w:firstLine="640" w:firstLineChars="200"/>
        <w:jc w:val="left"/>
        <w:rPr>
          <w:rFonts w:hint="eastAsia" w:ascii="仿宋_GB2312" w:hAnsi="仿宋_GB2312" w:eastAsia="仿宋_GB2312" w:cs="仿宋_GB2312"/>
          <w:color w:val="auto"/>
          <w:spacing w:val="-18"/>
          <w:kern w:val="0"/>
          <w:sz w:val="32"/>
          <w:szCs w:val="32"/>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项目资金</w:t>
      </w:r>
      <w:r>
        <w:rPr>
          <w:rFonts w:hint="eastAsia" w:ascii="仿宋_GB2312" w:hAnsi="仿宋_GB2312" w:eastAsia="仿宋_GB2312" w:cs="仿宋_GB2312"/>
          <w:bCs/>
          <w:sz w:val="32"/>
          <w:szCs w:val="32"/>
          <w:lang w:val="en-US" w:eastAsia="zh-CN"/>
        </w:rPr>
        <w:t>年初</w:t>
      </w:r>
      <w:r>
        <w:rPr>
          <w:rFonts w:hint="eastAsia" w:ascii="仿宋_GB2312" w:hAnsi="仿宋_GB2312" w:eastAsia="仿宋_GB2312" w:cs="仿宋_GB2312"/>
          <w:bCs/>
          <w:sz w:val="32"/>
          <w:szCs w:val="32"/>
        </w:rPr>
        <w:t>预算</w:t>
      </w:r>
      <w:r>
        <w:rPr>
          <w:rFonts w:hint="eastAsia" w:ascii="仿宋_GB2312" w:hAnsi="仿宋_GB2312" w:eastAsia="仿宋_GB2312" w:cs="仿宋_GB2312"/>
          <w:bCs/>
          <w:sz w:val="32"/>
          <w:szCs w:val="32"/>
          <w:lang w:val="en-US" w:eastAsia="zh-CN"/>
        </w:rPr>
        <w:t>总额为</w:t>
      </w:r>
      <w:r>
        <w:rPr>
          <w:rFonts w:hint="eastAsia" w:ascii="仿宋_GB2312" w:hAnsi="仿宋_GB2312" w:eastAsia="仿宋_GB2312" w:cs="仿宋_GB2312"/>
          <w:bCs/>
          <w:color w:val="auto"/>
          <w:sz w:val="32"/>
          <w:szCs w:val="32"/>
          <w:lang w:val="en-US" w:eastAsia="zh-CN"/>
        </w:rPr>
        <w:t>390.30</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color w:val="auto"/>
          <w:sz w:val="32"/>
          <w:szCs w:val="32"/>
        </w:rPr>
        <w:t>项目</w:t>
      </w:r>
      <w:r>
        <w:rPr>
          <w:rFonts w:hint="eastAsia" w:ascii="仿宋_GB2312" w:hAnsi="仿宋_GB2312" w:eastAsia="仿宋_GB2312" w:cs="仿宋_GB2312"/>
          <w:bCs/>
          <w:color w:val="auto"/>
          <w:sz w:val="32"/>
          <w:szCs w:val="32"/>
          <w:lang w:val="en-US" w:eastAsia="zh-CN"/>
        </w:rPr>
        <w:t>实际</w:t>
      </w:r>
      <w:r>
        <w:rPr>
          <w:rFonts w:hint="eastAsia" w:ascii="仿宋_GB2312" w:hAnsi="仿宋_GB2312" w:eastAsia="仿宋_GB2312" w:cs="仿宋_GB2312"/>
          <w:bCs/>
          <w:color w:val="auto"/>
          <w:sz w:val="32"/>
          <w:szCs w:val="32"/>
        </w:rPr>
        <w:t>支出</w:t>
      </w:r>
      <w:r>
        <w:rPr>
          <w:rFonts w:hint="eastAsia" w:ascii="仿宋_GB2312" w:hAnsi="仿宋_GB2312" w:eastAsia="仿宋_GB2312" w:cs="仿宋_GB2312"/>
          <w:bCs/>
          <w:color w:val="auto"/>
          <w:sz w:val="32"/>
          <w:szCs w:val="32"/>
          <w:lang w:val="en-US" w:eastAsia="zh-CN"/>
        </w:rPr>
        <w:t>总金额为</w:t>
      </w:r>
      <w:r>
        <w:rPr>
          <w:rFonts w:hint="eastAsia" w:ascii="仿宋_GB2312" w:hAnsi="仿宋_GB2312" w:eastAsia="仿宋_GB2312" w:cs="仿宋_GB2312"/>
          <w:bCs/>
          <w:sz w:val="32"/>
          <w:szCs w:val="32"/>
          <w:lang w:val="en-US" w:eastAsia="zh-CN"/>
        </w:rPr>
        <w:t>358.41</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val="en-US" w:eastAsia="zh-CN"/>
        </w:rPr>
        <w:t>其中</w:t>
      </w:r>
      <w:r>
        <w:rPr>
          <w:rFonts w:hint="eastAsia" w:ascii="仿宋_GB2312" w:hAnsi="仿宋_GB2312" w:eastAsia="仿宋_GB2312" w:cs="仿宋_GB2312"/>
          <w:color w:val="auto"/>
          <w:sz w:val="32"/>
          <w:szCs w:val="32"/>
        </w:rPr>
        <w:t>城管事务</w:t>
      </w:r>
      <w:r>
        <w:rPr>
          <w:rFonts w:hint="eastAsia" w:ascii="仿宋_GB2312" w:hAnsi="仿宋_GB2312" w:eastAsia="仿宋_GB2312" w:cs="仿宋_GB2312"/>
          <w:color w:val="auto"/>
          <w:sz w:val="32"/>
          <w:szCs w:val="32"/>
          <w:lang w:val="en-US" w:eastAsia="zh-CN"/>
        </w:rPr>
        <w:t>管理</w:t>
      </w:r>
      <w:r>
        <w:rPr>
          <w:rFonts w:hint="eastAsia" w:ascii="仿宋_GB2312" w:hAnsi="仿宋_GB2312" w:eastAsia="仿宋_GB2312" w:cs="仿宋_GB2312"/>
          <w:color w:val="auto"/>
          <w:sz w:val="32"/>
          <w:szCs w:val="32"/>
        </w:rPr>
        <w:t>经费</w:t>
      </w:r>
      <w:r>
        <w:rPr>
          <w:rFonts w:hint="eastAsia" w:ascii="仿宋_GB2312" w:hAnsi="仿宋_GB2312" w:eastAsia="仿宋_GB2312" w:cs="仿宋_GB2312"/>
          <w:color w:val="auto"/>
          <w:sz w:val="32"/>
          <w:szCs w:val="32"/>
          <w:lang w:val="en-US" w:eastAsia="zh-CN"/>
        </w:rPr>
        <w:t>支出170.82</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城管</w:t>
      </w:r>
      <w:r>
        <w:rPr>
          <w:rFonts w:hint="eastAsia" w:ascii="仿宋_GB2312" w:hAnsi="仿宋_GB2312" w:eastAsia="仿宋_GB2312" w:cs="仿宋_GB2312"/>
          <w:color w:val="auto"/>
          <w:sz w:val="32"/>
          <w:szCs w:val="32"/>
          <w:lang w:val="en-US" w:eastAsia="zh-CN"/>
        </w:rPr>
        <w:t>协管员人员</w:t>
      </w:r>
      <w:r>
        <w:rPr>
          <w:rFonts w:hint="eastAsia" w:ascii="仿宋_GB2312" w:hAnsi="仿宋_GB2312" w:eastAsia="仿宋_GB2312" w:cs="仿宋_GB2312"/>
          <w:color w:val="auto"/>
          <w:sz w:val="32"/>
          <w:szCs w:val="32"/>
        </w:rPr>
        <w:t>经费</w:t>
      </w:r>
      <w:r>
        <w:rPr>
          <w:rFonts w:hint="eastAsia" w:ascii="仿宋_GB2312" w:hAnsi="仿宋_GB2312" w:eastAsia="仿宋_GB2312" w:cs="仿宋_GB2312"/>
          <w:color w:val="auto"/>
          <w:sz w:val="32"/>
          <w:szCs w:val="32"/>
          <w:lang w:eastAsia="zh-CN"/>
        </w:rPr>
        <w:t>支出</w:t>
      </w:r>
      <w:r>
        <w:rPr>
          <w:rFonts w:hint="eastAsia" w:ascii="仿宋_GB2312" w:hAnsi="仿宋_GB2312" w:eastAsia="仿宋_GB2312" w:cs="仿宋_GB2312"/>
          <w:bCs/>
          <w:color w:val="auto"/>
          <w:sz w:val="32"/>
          <w:szCs w:val="32"/>
          <w:lang w:val="en-US" w:eastAsia="zh-CN"/>
        </w:rPr>
        <w:t>187.59万</w:t>
      </w:r>
      <w:r>
        <w:rPr>
          <w:rFonts w:hint="eastAsia" w:ascii="仿宋_GB2312" w:hAnsi="仿宋_GB2312" w:eastAsia="仿宋_GB2312" w:cs="仿宋_GB2312"/>
          <w:bCs/>
          <w:color w:val="auto"/>
          <w:sz w:val="32"/>
          <w:szCs w:val="32"/>
        </w:rPr>
        <w:t>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Cs/>
          <w:color w:val="auto"/>
          <w:sz w:val="32"/>
          <w:szCs w:val="32"/>
          <w:lang w:val="en-US" w:eastAsia="zh-CN"/>
        </w:rPr>
        <w:t>主要用于执法办案、燃气执法、固废执法、基建场地污染整治、户外广告整治、破道停车整治、扬尘治理、噪音治理、专业性考核</w:t>
      </w:r>
      <w:r>
        <w:rPr>
          <w:rFonts w:hint="eastAsia" w:ascii="仿宋_GB2312" w:hAnsi="仿宋_GB2312" w:eastAsia="仿宋_GB2312" w:cs="仿宋_GB2312"/>
          <w:bCs/>
          <w:strike w:val="0"/>
          <w:dstrike w:val="0"/>
          <w:color w:val="000000" w:themeColor="text1"/>
          <w:sz w:val="32"/>
          <w:szCs w:val="32"/>
          <w:lang w:val="en-US" w:eastAsia="zh-CN"/>
          <w14:textFill>
            <w14:solidFill>
              <w14:schemeClr w14:val="tx1"/>
            </w14:solidFill>
          </w14:textFill>
        </w:rPr>
        <w:t>和</w:t>
      </w:r>
      <w:r>
        <w:rPr>
          <w:rFonts w:hint="eastAsia" w:ascii="仿宋_GB2312" w:hAnsi="仿宋_GB2312" w:eastAsia="仿宋_GB2312" w:cs="仿宋_GB2312"/>
          <w:bCs/>
          <w:color w:val="auto"/>
          <w:sz w:val="32"/>
          <w:szCs w:val="32"/>
          <w:lang w:val="en-US" w:eastAsia="zh-CN"/>
        </w:rPr>
        <w:t>协管员劳务费等项目支出。</w:t>
      </w:r>
    </w:p>
    <w:p w14:paraId="3541F769">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政府性基金预算支出情况</w:t>
      </w:r>
    </w:p>
    <w:p w14:paraId="29FAF202">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eastAsia" w:ascii="仿宋_GB2312" w:hAnsi="仿宋_GB2312" w:eastAsia="仿宋_GB2312" w:cs="仿宋_GB2312"/>
          <w:sz w:val="32"/>
          <w:szCs w:val="32"/>
          <w:lang w:val="en-US" w:eastAsia="zh-CN"/>
        </w:rPr>
        <w:t>我单位无</w:t>
      </w:r>
      <w:r>
        <w:rPr>
          <w:rFonts w:hint="eastAsia" w:ascii="仿宋_GB2312" w:hAnsi="仿宋_GB2312" w:eastAsia="仿宋_GB2312" w:cs="仿宋_GB2312"/>
          <w:sz w:val="32"/>
          <w:szCs w:val="32"/>
        </w:rPr>
        <w:t>政府性基金预算支出</w:t>
      </w:r>
      <w:r>
        <w:rPr>
          <w:rFonts w:hint="eastAsia" w:ascii="仿宋_GB2312" w:hAnsi="仿宋_GB2312" w:eastAsia="仿宋_GB2312" w:cs="仿宋_GB2312"/>
          <w:sz w:val="32"/>
          <w:szCs w:val="32"/>
          <w:lang w:val="en-US" w:eastAsia="zh-CN"/>
        </w:rPr>
        <w:t>。</w:t>
      </w:r>
    </w:p>
    <w:p w14:paraId="3DA8947D">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国有资本经营预算支出情况</w:t>
      </w:r>
    </w:p>
    <w:p w14:paraId="1416444C">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Times New Roman"/>
          <w:sz w:val="32"/>
          <w:szCs w:val="32"/>
          <w:lang w:val="en-US" w:eastAsia="zh-CN"/>
        </w:rPr>
      </w:pPr>
      <w:r>
        <w:rPr>
          <w:rFonts w:hint="eastAsia" w:ascii="仿宋_GB2312" w:hAnsi="仿宋_GB2312" w:eastAsia="仿宋_GB2312" w:cs="仿宋_GB2312"/>
          <w:sz w:val="32"/>
          <w:szCs w:val="32"/>
          <w:lang w:val="en-US" w:eastAsia="zh-CN"/>
        </w:rPr>
        <w:t>我单位</w:t>
      </w:r>
      <w:r>
        <w:rPr>
          <w:rFonts w:hint="eastAsia" w:ascii="仿宋_GB2312" w:hAnsi="仿宋_GB2312" w:eastAsia="仿宋_GB2312" w:cs="仿宋_GB2312"/>
          <w:sz w:val="32"/>
          <w:szCs w:val="32"/>
        </w:rPr>
        <w:t>国有资本经营预算支出</w:t>
      </w:r>
      <w:r>
        <w:rPr>
          <w:rFonts w:hint="eastAsia" w:ascii="仿宋_GB2312" w:hAnsi="仿宋_GB2312" w:eastAsia="仿宋_GB2312" w:cs="仿宋_GB2312"/>
          <w:sz w:val="32"/>
          <w:szCs w:val="32"/>
          <w:lang w:val="en-US" w:eastAsia="zh-CN"/>
        </w:rPr>
        <w:t>。</w:t>
      </w:r>
    </w:p>
    <w:p w14:paraId="452450B8">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社会保险基金预算支出情况</w:t>
      </w:r>
    </w:p>
    <w:p w14:paraId="38D37231">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eastAsia" w:ascii="仿宋_GB2312" w:hAnsi="仿宋_GB2312" w:eastAsia="仿宋_GB2312" w:cs="仿宋_GB2312"/>
          <w:sz w:val="32"/>
          <w:szCs w:val="32"/>
          <w:lang w:val="en-US" w:eastAsia="zh-CN"/>
        </w:rPr>
        <w:t>我单位</w:t>
      </w:r>
      <w:r>
        <w:rPr>
          <w:rFonts w:hint="eastAsia" w:ascii="仿宋_GB2312" w:hAnsi="仿宋_GB2312" w:eastAsia="仿宋_GB2312" w:cs="仿宋_GB2312"/>
          <w:sz w:val="32"/>
          <w:szCs w:val="32"/>
        </w:rPr>
        <w:t>社会保险基金预算支出</w:t>
      </w:r>
      <w:r>
        <w:rPr>
          <w:rFonts w:hint="eastAsia" w:ascii="仿宋_GB2312" w:hAnsi="仿宋_GB2312" w:eastAsia="仿宋_GB2312" w:cs="仿宋_GB2312"/>
          <w:sz w:val="32"/>
          <w:szCs w:val="32"/>
          <w:lang w:val="en-US" w:eastAsia="zh-CN"/>
        </w:rPr>
        <w:t>。</w:t>
      </w:r>
    </w:p>
    <w:p w14:paraId="654FA475">
      <w:pPr>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、部门整体支出绩效情况</w:t>
      </w:r>
    </w:p>
    <w:p w14:paraId="62FFCBE6">
      <w:pPr>
        <w:keepNext w:val="0"/>
        <w:keepLines w:val="0"/>
        <w:pageBreakBefore w:val="0"/>
        <w:widowControl/>
        <w:kinsoku/>
        <w:wordWrap/>
        <w:overflowPunct/>
        <w:topLinePunct w:val="0"/>
        <w:autoSpaceDE/>
        <w:autoSpaceDN/>
        <w:bidi w:val="0"/>
        <w:adjustRightInd/>
        <w:snapToGrid/>
        <w:spacing w:line="600" w:lineRule="exact"/>
        <w:ind w:firstLine="643" w:firstLineChars="200"/>
        <w:jc w:val="left"/>
        <w:textAlignment w:val="auto"/>
        <w:rPr>
          <w:rFonts w:hint="default" w:ascii="Times New Roman" w:hAnsi="Times New Roman" w:eastAsia="仿宋_GB2312" w:cs="Times New Roman"/>
          <w:color w:val="000000"/>
          <w:sz w:val="32"/>
          <w:szCs w:val="32"/>
        </w:rPr>
      </w:pPr>
      <w:r>
        <w:rPr>
          <w:rFonts w:hint="eastAsia" w:ascii="楷体_GB2312" w:hAnsi="楷体_GB2312" w:eastAsia="楷体_GB2312" w:cs="楷体_GB2312"/>
          <w:b/>
          <w:bCs w:val="0"/>
          <w:color w:val="auto"/>
          <w:kern w:val="2"/>
          <w:sz w:val="32"/>
          <w:szCs w:val="32"/>
          <w:highlight w:val="none"/>
          <w:lang w:val="en-US" w:eastAsia="zh-CN" w:bidi="ar-SA"/>
        </w:rPr>
        <w:t>（一）年度绩效目标</w:t>
      </w:r>
    </w:p>
    <w:p w14:paraId="03102589">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目标1：</w:t>
      </w:r>
      <w:r>
        <w:rPr>
          <w:rFonts w:hint="eastAsia" w:ascii="仿宋_GB2312" w:hAnsi="仿宋_GB2312" w:eastAsia="仿宋_GB2312" w:cs="仿宋_GB2312"/>
          <w:color w:val="000000"/>
          <w:sz w:val="32"/>
          <w:szCs w:val="32"/>
          <w:highlight w:val="none"/>
        </w:rPr>
        <w:t>贯彻执行国家有关城市管理方面的法律法规规章和政策规定</w:t>
      </w:r>
      <w:r>
        <w:rPr>
          <w:rFonts w:hint="eastAsia" w:ascii="仿宋_GB2312" w:hAnsi="仿宋_GB2312" w:eastAsia="仿宋_GB2312" w:cs="仿宋_GB2312"/>
          <w:color w:val="000000"/>
          <w:sz w:val="32"/>
          <w:szCs w:val="32"/>
          <w:highlight w:val="none"/>
          <w:lang w:eastAsia="zh-CN"/>
        </w:rPr>
        <w:t>，行政执法程序合法、依据合理，以事实为依据，以法律为准绳</w:t>
      </w:r>
      <w:r>
        <w:rPr>
          <w:rFonts w:hint="eastAsia" w:ascii="仿宋_GB2312" w:hAnsi="仿宋_GB2312" w:eastAsia="仿宋_GB2312" w:cs="仿宋_GB2312"/>
          <w:color w:val="000000"/>
          <w:sz w:val="32"/>
          <w:szCs w:val="32"/>
          <w:highlight w:val="none"/>
        </w:rPr>
        <w:t>；</w:t>
      </w:r>
    </w:p>
    <w:p w14:paraId="0B448111">
      <w:pPr>
        <w:keepNext w:val="0"/>
        <w:keepLines w:val="0"/>
        <w:pageBreakBefore w:val="0"/>
        <w:widowControl/>
        <w:numPr>
          <w:ilvl w:val="0"/>
          <w:numId w:val="0"/>
        </w:numPr>
        <w:kinsoku/>
        <w:wordWrap/>
        <w:overflowPunct/>
        <w:topLinePunct w:val="0"/>
        <w:autoSpaceDE/>
        <w:autoSpaceDN/>
        <w:bidi w:val="0"/>
        <w:adjustRightInd/>
        <w:snapToGrid/>
        <w:spacing w:line="600" w:lineRule="exact"/>
        <w:ind w:leftChars="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目标2：</w:t>
      </w:r>
      <w:r>
        <w:rPr>
          <w:rFonts w:hint="eastAsia" w:ascii="仿宋_GB2312" w:hAnsi="仿宋_GB2312" w:eastAsia="仿宋_GB2312" w:cs="仿宋_GB2312"/>
          <w:color w:val="000000"/>
          <w:sz w:val="32"/>
          <w:szCs w:val="32"/>
          <w:highlight w:val="none"/>
        </w:rPr>
        <w:t>行使市本级管理权限范围内</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城市管理方面的行政处罚权及相应的行政强制权</w:t>
      </w:r>
      <w:r>
        <w:rPr>
          <w:rFonts w:hint="eastAsia" w:ascii="仿宋_GB2312" w:hAnsi="仿宋_GB2312" w:eastAsia="仿宋_GB2312" w:cs="仿宋_GB2312"/>
          <w:color w:val="000000"/>
          <w:sz w:val="32"/>
          <w:szCs w:val="32"/>
          <w:highlight w:val="none"/>
          <w:lang w:eastAsia="zh-CN"/>
        </w:rPr>
        <w:t>，及时处理违规行为，强化行政管理，案件办理达40起</w:t>
      </w:r>
      <w:r>
        <w:rPr>
          <w:rFonts w:hint="eastAsia" w:ascii="仿宋_GB2312" w:hAnsi="仿宋_GB2312" w:eastAsia="仿宋_GB2312" w:cs="仿宋_GB2312"/>
          <w:color w:val="000000"/>
          <w:sz w:val="32"/>
          <w:szCs w:val="32"/>
          <w:highlight w:val="none"/>
        </w:rPr>
        <w:t>；</w:t>
      </w:r>
    </w:p>
    <w:p w14:paraId="66CAA38E">
      <w:pPr>
        <w:keepNext w:val="0"/>
        <w:keepLines w:val="0"/>
        <w:pageBreakBefore w:val="0"/>
        <w:widowControl/>
        <w:numPr>
          <w:ilvl w:val="0"/>
          <w:numId w:val="0"/>
        </w:numPr>
        <w:kinsoku/>
        <w:wordWrap/>
        <w:overflowPunct/>
        <w:topLinePunct w:val="0"/>
        <w:autoSpaceDE/>
        <w:autoSpaceDN/>
        <w:bidi w:val="0"/>
        <w:adjustRightInd/>
        <w:snapToGrid/>
        <w:spacing w:line="600" w:lineRule="exact"/>
        <w:ind w:leftChars="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目标3：</w:t>
      </w:r>
      <w:r>
        <w:rPr>
          <w:rFonts w:hint="eastAsia" w:ascii="仿宋_GB2312" w:hAnsi="仿宋_GB2312" w:eastAsia="仿宋_GB2312" w:cs="仿宋_GB2312"/>
          <w:color w:val="000000"/>
          <w:sz w:val="32"/>
          <w:szCs w:val="32"/>
          <w:highlight w:val="none"/>
          <w:lang w:eastAsia="zh-CN"/>
        </w:rPr>
        <w:t>依法行政、文明执法，管理和服务相结合，提升执法形象；</w:t>
      </w:r>
    </w:p>
    <w:p w14:paraId="79E676A0">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目标4：</w:t>
      </w:r>
      <w:r>
        <w:rPr>
          <w:rFonts w:hint="eastAsia" w:ascii="仿宋_GB2312" w:hAnsi="仿宋_GB2312" w:eastAsia="仿宋_GB2312" w:cs="仿宋_GB2312"/>
          <w:color w:val="000000"/>
          <w:sz w:val="32"/>
          <w:szCs w:val="32"/>
          <w:highlight w:val="none"/>
          <w:lang w:eastAsia="zh-CN"/>
        </w:rPr>
        <w:t>加强常态化管理，确保市容秩序整洁、城区环境优美，</w:t>
      </w:r>
      <w:r>
        <w:rPr>
          <w:rFonts w:hint="eastAsia" w:ascii="仿宋_GB2312" w:hAnsi="仿宋_GB2312" w:eastAsia="仿宋_GB2312" w:cs="仿宋_GB2312"/>
          <w:color w:val="000000"/>
          <w:sz w:val="32"/>
          <w:szCs w:val="32"/>
          <w:highlight w:val="none"/>
        </w:rPr>
        <w:t>为我市打造名副其实的省域副中心城市创造良好的市容管理秩序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　</w:t>
      </w:r>
    </w:p>
    <w:p w14:paraId="510646A1">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lang w:val="en-US" w:eastAsia="zh-CN"/>
        </w:rPr>
        <w:t>目标5：</w:t>
      </w:r>
      <w:r>
        <w:rPr>
          <w:rFonts w:hint="eastAsia" w:ascii="仿宋_GB2312" w:hAnsi="仿宋_GB2312" w:eastAsia="仿宋_GB2312" w:cs="仿宋_GB2312"/>
          <w:color w:val="000000"/>
          <w:sz w:val="32"/>
          <w:szCs w:val="32"/>
          <w:highlight w:val="none"/>
          <w:lang w:eastAsia="zh-CN"/>
        </w:rPr>
        <w:t>按照计划和进度完成全年工作。</w:t>
      </w:r>
    </w:p>
    <w:p w14:paraId="340F2290">
      <w:pPr>
        <w:pStyle w:val="11"/>
        <w:keepNext w:val="0"/>
        <w:keepLines w:val="0"/>
        <w:pageBreakBefore w:val="0"/>
        <w:widowControl/>
        <w:numPr>
          <w:ilvl w:val="0"/>
          <w:numId w:val="3"/>
        </w:numPr>
        <w:kinsoku/>
        <w:wordWrap/>
        <w:overflowPunct/>
        <w:topLinePunct w:val="0"/>
        <w:autoSpaceDE/>
        <w:autoSpaceDN/>
        <w:bidi w:val="0"/>
        <w:adjustRightInd/>
        <w:snapToGrid/>
        <w:spacing w:line="600" w:lineRule="exact"/>
        <w:ind w:firstLine="643" w:firstLineChars="200"/>
        <w:jc w:val="left"/>
        <w:textAlignment w:val="auto"/>
        <w:rPr>
          <w:rFonts w:hint="eastAsia" w:ascii="楷体_GB2312" w:hAnsi="楷体_GB2312" w:eastAsia="楷体_GB2312" w:cs="楷体_GB2312"/>
          <w:b/>
          <w:bCs/>
          <w:kern w:val="0"/>
          <w:sz w:val="32"/>
          <w:szCs w:val="32"/>
          <w:lang w:val="en-US" w:eastAsia="zh-CN"/>
        </w:rPr>
      </w:pPr>
      <w:r>
        <w:rPr>
          <w:rFonts w:hint="eastAsia" w:ascii="楷体_GB2312" w:hAnsi="楷体_GB2312" w:eastAsia="楷体_GB2312" w:cs="楷体_GB2312"/>
          <w:b/>
          <w:bCs w:val="0"/>
          <w:color w:val="auto"/>
          <w:kern w:val="2"/>
          <w:sz w:val="32"/>
          <w:szCs w:val="32"/>
          <w:highlight w:val="none"/>
          <w:lang w:val="en-US" w:eastAsia="zh-CN" w:bidi="ar-SA"/>
        </w:rPr>
        <w:t>完成情况及</w:t>
      </w:r>
      <w:r>
        <w:rPr>
          <w:rFonts w:hint="eastAsia" w:ascii="楷体_GB2312" w:hAnsi="楷体_GB2312" w:eastAsia="楷体_GB2312" w:cs="楷体_GB2312"/>
          <w:b/>
          <w:bCs/>
          <w:kern w:val="0"/>
          <w:sz w:val="32"/>
          <w:szCs w:val="32"/>
          <w:lang w:val="en-US" w:eastAsia="zh-CN"/>
        </w:rPr>
        <w:t>取得的效益情况</w:t>
      </w:r>
    </w:p>
    <w:p w14:paraId="3A55B68F">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lang w:val="en-US" w:eastAsia="zh-CN"/>
        </w:rPr>
        <w:t>目标1完成情况：</w:t>
      </w:r>
      <w:r>
        <w:rPr>
          <w:rFonts w:hint="eastAsia" w:ascii="仿宋_GB2312" w:hAnsi="仿宋_GB2312" w:eastAsia="仿宋_GB2312" w:cs="仿宋_GB2312"/>
          <w:sz w:val="32"/>
          <w:szCs w:val="32"/>
          <w:lang w:eastAsia="zh-CN"/>
        </w:rPr>
        <w:t>贯彻执行国家有关城市管理方面的法律法规、规章</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政策规定</w:t>
      </w:r>
      <w:r>
        <w:rPr>
          <w:rFonts w:hint="eastAsia" w:ascii="仿宋_GB2312" w:hAnsi="仿宋_GB2312" w:eastAsia="仿宋_GB2312" w:cs="仿宋_GB2312"/>
          <w:sz w:val="32"/>
          <w:szCs w:val="32"/>
          <w:lang w:val="en-US" w:eastAsia="zh-CN"/>
        </w:rPr>
        <w:t>效果良好，</w:t>
      </w:r>
      <w:r>
        <w:rPr>
          <w:rFonts w:hint="eastAsia" w:ascii="仿宋_GB2312" w:hAnsi="仿宋_GB2312" w:eastAsia="仿宋_GB2312" w:cs="仿宋_GB2312"/>
          <w:color w:val="000000"/>
          <w:sz w:val="32"/>
          <w:szCs w:val="32"/>
          <w:highlight w:val="none"/>
          <w:lang w:eastAsia="zh-CN"/>
        </w:rPr>
        <w:t>行政执法程序合法合规，以事实为依据，以法律为准绳，全年无法律纠纷</w:t>
      </w:r>
      <w:r>
        <w:rPr>
          <w:rFonts w:hint="eastAsia" w:ascii="仿宋_GB2312" w:hAnsi="仿宋_GB2312" w:eastAsia="仿宋_GB2312" w:cs="仿宋_GB2312"/>
          <w:color w:val="000000"/>
          <w:sz w:val="32"/>
          <w:szCs w:val="32"/>
          <w:highlight w:val="none"/>
        </w:rPr>
        <w:t>；</w:t>
      </w:r>
    </w:p>
    <w:p w14:paraId="4783299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目标2完成情况：依法行使</w:t>
      </w:r>
      <w:r>
        <w:rPr>
          <w:rFonts w:hint="eastAsia" w:ascii="仿宋_GB2312" w:hAnsi="仿宋_GB2312" w:eastAsia="仿宋_GB2312" w:cs="仿宋_GB2312"/>
          <w:color w:val="000000"/>
          <w:sz w:val="32"/>
          <w:szCs w:val="32"/>
          <w:highlight w:val="none"/>
        </w:rPr>
        <w:t>市本级管理权限范围内</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城市管理方面的行政处罚权及相应的行政强制权</w:t>
      </w:r>
      <w:r>
        <w:rPr>
          <w:rFonts w:hint="eastAsia" w:ascii="仿宋_GB2312" w:hAnsi="仿宋_GB2312" w:eastAsia="仿宋_GB2312" w:cs="仿宋_GB2312"/>
          <w:color w:val="000000"/>
          <w:sz w:val="32"/>
          <w:szCs w:val="32"/>
          <w:highlight w:val="none"/>
          <w:lang w:eastAsia="zh-CN"/>
        </w:rPr>
        <w:t>，违规行为得到及时处置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执法合法合规，效果良好</w:t>
      </w:r>
      <w:r>
        <w:rPr>
          <w:rFonts w:hint="eastAsia" w:ascii="仿宋_GB2312" w:hAnsi="仿宋_GB2312" w:eastAsia="仿宋_GB2312" w:cs="仿宋_GB2312"/>
          <w:sz w:val="32"/>
          <w:szCs w:val="32"/>
          <w:lang w:eastAsia="zh-CN"/>
        </w:rPr>
        <w:t>；</w:t>
      </w:r>
    </w:p>
    <w:p w14:paraId="242BF203">
      <w:pPr>
        <w:keepNext w:val="0"/>
        <w:keepLines w:val="0"/>
        <w:pageBreakBefore w:val="0"/>
        <w:widowControl/>
        <w:numPr>
          <w:ilvl w:val="0"/>
          <w:numId w:val="0"/>
        </w:numPr>
        <w:kinsoku/>
        <w:wordWrap/>
        <w:overflowPunct/>
        <w:topLinePunct w:val="0"/>
        <w:autoSpaceDE/>
        <w:autoSpaceDN/>
        <w:bidi w:val="0"/>
        <w:adjustRightInd/>
        <w:snapToGrid/>
        <w:spacing w:line="600" w:lineRule="exact"/>
        <w:ind w:leftChars="0"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目标3完成情况：进一步规范了</w:t>
      </w:r>
      <w:r>
        <w:rPr>
          <w:rFonts w:hint="eastAsia" w:ascii="仿宋_GB2312" w:hAnsi="仿宋_GB2312" w:eastAsia="仿宋_GB2312" w:cs="仿宋_GB2312"/>
          <w:color w:val="000000"/>
          <w:sz w:val="32"/>
          <w:szCs w:val="32"/>
          <w:highlight w:val="none"/>
          <w:lang w:eastAsia="zh-CN"/>
        </w:rPr>
        <w:t>行政执法程序和流程，管理和服务相结合，公众对城管执法工作认可度显著提升；</w:t>
      </w:r>
    </w:p>
    <w:p w14:paraId="4C708BE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目标4完成情况：</w:t>
      </w:r>
      <w:r>
        <w:rPr>
          <w:rFonts w:hint="eastAsia" w:ascii="仿宋_GB2312" w:hAnsi="仿宋_GB2312" w:eastAsia="仿宋_GB2312" w:cs="仿宋_GB2312"/>
          <w:color w:val="000000"/>
          <w:sz w:val="32"/>
          <w:szCs w:val="32"/>
          <w:highlight w:val="none"/>
          <w:lang w:eastAsia="zh-CN"/>
        </w:rPr>
        <w:t>加强了</w:t>
      </w:r>
      <w:r>
        <w:rPr>
          <w:rFonts w:hint="eastAsia" w:ascii="仿宋_GB2312" w:hAnsi="仿宋_GB2312" w:eastAsia="仿宋_GB2312" w:cs="仿宋_GB2312"/>
          <w:sz w:val="32"/>
          <w:szCs w:val="32"/>
          <w:lang w:eastAsia="zh-CN"/>
        </w:rPr>
        <w:t>市本级管理权限范围内建筑施工场地噪音污染、扬尘污染等生态环境保护和</w:t>
      </w:r>
      <w:r>
        <w:rPr>
          <w:rFonts w:hint="eastAsia" w:ascii="仿宋_GB2312" w:hAnsi="仿宋_GB2312" w:eastAsia="仿宋_GB2312" w:cs="仿宋_GB2312"/>
          <w:color w:val="000000"/>
          <w:sz w:val="32"/>
          <w:szCs w:val="32"/>
          <w:highlight w:val="none"/>
          <w:lang w:eastAsia="zh-CN"/>
        </w:rPr>
        <w:t>市容秩序</w:t>
      </w:r>
      <w:r>
        <w:rPr>
          <w:rFonts w:hint="eastAsia" w:ascii="仿宋_GB2312" w:hAnsi="仿宋_GB2312" w:eastAsia="仿宋_GB2312" w:cs="仿宋_GB2312"/>
          <w:sz w:val="32"/>
          <w:szCs w:val="32"/>
          <w:lang w:eastAsia="zh-CN"/>
        </w:rPr>
        <w:t>方面的</w:t>
      </w:r>
      <w:r>
        <w:rPr>
          <w:rFonts w:hint="eastAsia" w:ascii="仿宋_GB2312" w:hAnsi="仿宋_GB2312" w:eastAsia="仿宋_GB2312" w:cs="仿宋_GB2312"/>
          <w:color w:val="000000"/>
          <w:sz w:val="32"/>
          <w:szCs w:val="32"/>
          <w:highlight w:val="none"/>
          <w:lang w:eastAsia="zh-CN"/>
        </w:rPr>
        <w:t>常态化管理，</w:t>
      </w:r>
      <w:r>
        <w:rPr>
          <w:rFonts w:hint="eastAsia" w:ascii="仿宋_GB2312" w:hAnsi="仿宋_GB2312" w:eastAsia="仿宋_GB2312" w:cs="仿宋_GB2312"/>
          <w:color w:val="000000"/>
          <w:sz w:val="32"/>
          <w:szCs w:val="32"/>
          <w:highlight w:val="none"/>
        </w:rPr>
        <w:t>为我市打造名副其实的省域副中心城市创造</w:t>
      </w:r>
      <w:r>
        <w:rPr>
          <w:rFonts w:hint="eastAsia" w:ascii="仿宋_GB2312" w:hAnsi="仿宋_GB2312" w:eastAsia="仿宋_GB2312" w:cs="仿宋_GB2312"/>
          <w:color w:val="000000"/>
          <w:sz w:val="32"/>
          <w:szCs w:val="32"/>
          <w:highlight w:val="none"/>
          <w:lang w:eastAsia="zh-CN"/>
        </w:rPr>
        <w:t>了</w:t>
      </w:r>
      <w:r>
        <w:rPr>
          <w:rFonts w:hint="eastAsia" w:ascii="仿宋_GB2312" w:hAnsi="仿宋_GB2312" w:eastAsia="仿宋_GB2312" w:cs="仿宋_GB2312"/>
          <w:color w:val="000000"/>
          <w:sz w:val="32"/>
          <w:szCs w:val="32"/>
          <w:highlight w:val="none"/>
        </w:rPr>
        <w:t>良好的市容管理秩序</w:t>
      </w:r>
      <w:r>
        <w:rPr>
          <w:rFonts w:hint="eastAsia" w:ascii="仿宋_GB2312" w:hAnsi="仿宋_GB2312" w:eastAsia="仿宋_GB2312" w:cs="仿宋_GB2312"/>
          <w:sz w:val="32"/>
          <w:szCs w:val="32"/>
          <w:lang w:val="en-US" w:eastAsia="zh-CN"/>
        </w:rPr>
        <w:t>；</w:t>
      </w:r>
    </w:p>
    <w:p w14:paraId="3B721799">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color w:val="000000"/>
          <w:sz w:val="32"/>
          <w:szCs w:val="32"/>
          <w:lang w:val="en-US" w:eastAsia="zh-CN"/>
        </w:rPr>
        <w:t>目标5完成情况：</w:t>
      </w:r>
      <w:r>
        <w:rPr>
          <w:rFonts w:hint="eastAsia" w:ascii="仿宋_GB2312" w:hAnsi="仿宋_GB2312" w:eastAsia="仿宋_GB2312" w:cs="仿宋_GB2312"/>
          <w:color w:val="000000"/>
          <w:sz w:val="32"/>
          <w:szCs w:val="32"/>
          <w:highlight w:val="none"/>
          <w:lang w:eastAsia="zh-CN"/>
        </w:rPr>
        <w:t>如期高质量圆满完成了</w:t>
      </w:r>
      <w:r>
        <w:rPr>
          <w:rFonts w:hint="eastAsia" w:ascii="仿宋_GB2312" w:hAnsi="仿宋_GB2312" w:eastAsia="仿宋_GB2312" w:cs="仿宋_GB2312"/>
          <w:color w:val="000000"/>
          <w:sz w:val="32"/>
          <w:szCs w:val="32"/>
          <w:lang w:val="en-US" w:eastAsia="zh-CN"/>
        </w:rPr>
        <w:t>年度各项工作</w:t>
      </w:r>
      <w:r>
        <w:rPr>
          <w:rFonts w:hint="eastAsia" w:ascii="仿宋_GB2312" w:hAnsi="仿宋_GB2312" w:eastAsia="仿宋_GB2312" w:cs="仿宋_GB2312"/>
          <w:color w:val="000000"/>
          <w:sz w:val="32"/>
          <w:szCs w:val="32"/>
          <w:highlight w:val="none"/>
          <w:lang w:eastAsia="zh-CN"/>
        </w:rPr>
        <w:t>任务。</w:t>
      </w:r>
    </w:p>
    <w:p w14:paraId="3DB59480">
      <w:pPr>
        <w:pStyle w:val="11"/>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bCs/>
          <w:color w:val="auto"/>
          <w:kern w:val="0"/>
          <w:sz w:val="32"/>
          <w:szCs w:val="32"/>
          <w:lang w:val="en-US" w:eastAsia="zh-CN"/>
        </w:rPr>
        <w:t>取得的效益情况：</w:t>
      </w:r>
    </w:p>
    <w:p w14:paraId="4CC7F38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US" w:eastAsia="zh-CN"/>
        </w:rPr>
        <w:t>2025年，在市委市政府和市城管局的坚强领导下，全队上下始终保持昂扬向上、奋发有为的精神状态，把准事业方向，鼓舞工作干劲，以精管善治赋能“七个岳阳”，用执法为民守护“六大城管”，为城管执法事业高质量发展提供坚实有力的支撑和保障，</w:t>
      </w:r>
      <w:r>
        <w:rPr>
          <w:rFonts w:hint="eastAsia" w:ascii="仿宋_GB2312" w:hAnsi="仿宋_GB2312" w:eastAsia="仿宋_GB2312" w:cs="仿宋_GB2312"/>
          <w:sz w:val="32"/>
          <w:szCs w:val="32"/>
          <w:lang w:val="en" w:eastAsia="zh-CN"/>
        </w:rPr>
        <w:t>具体情况如下：</w:t>
      </w:r>
    </w:p>
    <w:p w14:paraId="2590C684">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1、坚持政治领航、把舵定向，在筑牢党建根基中凝聚奋进力量。</w:t>
      </w:r>
    </w:p>
    <w:p w14:paraId="69CB441A">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政治忠诚底色更加鲜明。始终把党的政治建设摆在首位，将学习贯彻习近平新时代中国特色社会主义思想和党的二十届四中全会精神以及习近平总书记最新重要讲话和指示批示精神作为首要政治任务。支队党委理论学习中心组全年开展12次集中学习，举办读书班4期，党委班子成员深入基层带头讲授专题党课12次，各级基层党组织开展主题党日等活动60多次，跟进学习研讨活动上百次。深化意识形态与执法实践融合，将思想引领嵌入执法全流程，完善舆情监测处置机制，全年稳妥应对网络舆情3起，刊发正面宣传报道300余篇，切实筑牢了意识形态安全屏障。</w:t>
      </w:r>
    </w:p>
    <w:p w14:paraId="596556FA">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党建引领作用更加突显。紧扣干部队伍调整实际，7个党总（支）部通过党员大会增补委员29名、调整书记2名；推进基层党堡垒建设，完成机关退休党支部换届，指导5个党总支设立30个党支部并完成支委选举，基层党组织架构体系实现全覆盖。强化党建履职责任，组织9个党（总）支开展年度述职评议，评议对象和点评形式分获市局好评。规范党员教育管理，采取“上级调训+自主培训”模式组织党建业务培训6次，推选住建大队党支部在市局培训班情境模拟演示组织生活会规范流程，受多方点赞；完成498名党员党内统计工作，严格审核2名预备党员转正、1名发展对象入党，党员队伍结构持续优化。</w:t>
      </w:r>
    </w:p>
    <w:p w14:paraId="64FE134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党群同心合力更加强劲。坚持以党建带群建，工会通过代表大会和会员大会构建起“联合工会+基层工会”的组织网络，先后举办了女职工讲座、“夏送清凉”、健步行等一系列活动，组织干部职工参与的市直羽毛球、游泳、拔河等文体比赛屡获佳绩。党群和工会线建立帮扶台账，全年慰问困难职工及党员83人次，持续传递组织温暖；组织退休老同志开展红色教育等主题活动，有效凝聚“银发力量”。坚持以党建合群心，始终把职工关切点作为党委关注点，推动市委编办出台政策口径文件，稳妥解决了一批关系职工政治、经济待遇等切身利益的问题；始终把基层需求作为党委所求，全力保障执法车辆、装备配备及各项事务经费的落实，为队伍稳定与高效运转提供了坚实支撑。</w:t>
      </w:r>
    </w:p>
    <w:p w14:paraId="79ED735B">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2、坚持精细管理、创新赋能，在提升城市品质中展现城管作为。</w:t>
      </w:r>
    </w:p>
    <w:p w14:paraId="1D56E7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市容秩序管控更加精准。全年规范出店及占道经营18.6万余起、流动摊点2.7万余个。聚焦重点区域，在校园周边设立“党员护学岗”，常态维护上下学秩序；对农集贸市场周边实行“错时值守+联合巡查”，有效整治马路市场。扎实推进安全隐患排查，拆除破损违规广告牌341处、伸缩棚100余个，切实守护群众“头顶安全”。深化停车秩序治理，劝离违停车辆5.1万余台次、贴单处罚3.1万余台，施划更新停车位300余个，停车乱象得到明显改善。</w:t>
      </w:r>
    </w:p>
    <w:p w14:paraId="689939D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治理模式创新更加有力。全面推行“扫码入企”智慧监管，落实执法人员“证码双亮”，全年共规范入企检查23次，有效减轻企业负担。升级建筑垃圾管控体系，安装7处太阳能监控并接入智慧城管平台，依托电子围栏、实时抓拍功能实现24小时不间断防控，推动监管从“人防”向“技防”转型。建立“城管+公安+交通”联勤联动机制，开展“打非治违”联合执法行动190次，查处非法运营车辆36台，移送公安机关依法行政拘留1人，有力维护了岳阳窗口形象。</w:t>
      </w:r>
    </w:p>
    <w:p w14:paraId="21EC348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专项行动成果更加显著。聚焦重点领域开展系列整治，完成29家停车场合规化整改，拆除违规道闸54处，畅通静态交通环境；规范整治“一店多招”131处，协同完成18处门头招牌标准化改造，提升街区立面秩序；扎实开展燃气安全专项执法检查1647家次，整改隐患1700余处，切实守护群众生活环境与用气安全。特别是春节期间“禁炮”专项行动，我们提前部署、全面动员，建立起全域覆盖、联防联控的工作体系。跨年夜、除夕夜、元宵夜期间，各级班子带头下沉一线，按照“定人、定岗、定责”要求，在景区、广场等重点部位冒雨坚守、全程管控，圆满完成禁燃任务；除夕当天中心城区PM2.5浓度同比下降超70%，空气质量达近年最优水平，工作成效获得上级充分肯定。</w:t>
      </w:r>
    </w:p>
    <w:p w14:paraId="75C4DC9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3、坚持依法行政、规范履职，在深化法治实践中彰显执法权威。</w:t>
      </w:r>
    </w:p>
    <w:p w14:paraId="46F502A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法制宣传教育更加深入。制定并落实年度法制培训计划，组织开展专题培训8次、“以案释法”研讨6次，坚持集中学习与个人自学相结合，实现全体在职人员学法考法通过率100%，新增77人通过行政执法资格考试。创新普法形式，深入开展“法律六进”活动112次，发放宣传资料14.6万余份，覆盖群众上万人，全面落实“谁执法谁普法”的普法责任，让法治理念浸润人心、落地生根。</w:t>
      </w:r>
    </w:p>
    <w:p w14:paraId="1E042CC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执法案件办理更加严谨。持续完善执法制度体系，优化案件办理全流程。全年办理行政处罚案件1081起，处罚金额154万余元，未发生重大执法过错。强化案件审核监督，组织召开案件合议会8次，完成法制初步审核169件；规范执法程序与文书制作，完善案卷自查与评查闭环机制，全年开展案卷检查4次，16卷参评案卷均高质量通过省、市司法部门评查，坚实筑牢执法公信力根基。</w:t>
      </w:r>
    </w:p>
    <w:p w14:paraId="0860766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依法执法行为更加规范。建立执法联动和协调机制，积极协调司法、住建、交通、生态环境等部门，推动解决生态环保、生活噪音、建设工程质量、非法营运等专业执法问题，办理了“KOK酒吧噪音污染”“洞庭新天地装修”等一批重大典型案例。依法妥善处置行政复议与诉讼，办理“信息公开”行政复议和行政诉讼案各1起。邀请驻队律师常态化参与指导，精准提供专业法律意见，为支队法制建设提供了坚实保障。</w:t>
      </w:r>
    </w:p>
    <w:p w14:paraId="5DE692DB">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4、坚持人民至上、共建共享，在优化服务保障中增进民生福祉。</w:t>
      </w:r>
    </w:p>
    <w:p w14:paraId="7C46B90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共建共治氛围更加浓厚。推行“宣传+服务”双轮驱动模式，各派驻大队联合属地街道、社区，在步步高广场、巴陵广场等区域深入普及城市管理法律法规，全面展示专项整治成效与便民服务举措，通过设置宣传展板、现场演示操作、面对面讲解等形式，开展大型主题宣传活动85场，发放宣传资料1.4万余份，不断提升市民群众对城管工作的知晓度、理解度和支持度。 </w:t>
      </w:r>
    </w:p>
    <w:p w14:paraId="41DB1902">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协同联动机制更加顺畅。以“城管进社区、服务面对面”为纽带，持续完善与街道、社区、物业及相关部门的常态化联动机制，构建“问题收集—任务分派—联合处置—结果反馈”的闭环管理体系，有效提升基层治理响应速度和处置质效。加强与公安、交警等部门的协同配合，圆满完成旅发大会、马拉松、“湘超”赛事等重大活动保障任务，实现全程“零投诉、零事故”，部门协同、上下联动、高效运转的工作格局全面巩固。</w:t>
      </w:r>
    </w:p>
    <w:p w14:paraId="391A4363">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民生诉求回应更加高效。坚持以群众满意为导向，构建“整治—规范—提升”全链条制度体系。针对夜市扰民、占道经营、车辆违停等高频高发诉求，实行机制化推进、清单化管理、项目化落实，确保问题发现及时、处置高效、市民满意。全年累计办结群众各类诉求9000余件，一批群众急难愁盼问题得到有效解决，城市环境秩序持续改善，群众满意度不断增强。</w:t>
      </w:r>
    </w:p>
    <w:p w14:paraId="066707C3">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5、坚持严管厚爱、淬炼本领，在锻造过硬队伍中夯实发展根基。</w:t>
      </w:r>
    </w:p>
    <w:p w14:paraId="0DD8DDF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考核评价体系更加科学。紧扣执法体制改革新形势新要求，制定出台《城市管理执法工作考核实施细则》，构建“支队统筹、大队落实、中队执行”三级监督考评网络。坚持常态化开展“四不两直”督导检查，全年围绕执法规范、履职效能、队容风纪等开展督查300余次，通报并督促整改问题1000余项；系统梳理共性问题30余类，精准制定改进措施65条，实现以考促改、以改促优的良性循环。</w:t>
      </w:r>
    </w:p>
    <w:p w14:paraId="6694AD8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综合能力素质更加全面。聚焦专业化、规范化建设目标，分层分类开展能力培训。组织220名中层骨干在市委党校进行为期两天半的封闭培训，围绕职业道德、法律适用与实务操作等重点内容强化赋能，提升队伍纪律规矩意识、知法用法水平和职业道德修养。督促372名事业编制人员完成线上继续教育学时，组织副科以上干部完成干部教育网络培训，实现关键岗位全覆盖、履职能力整体跃升。</w:t>
      </w:r>
    </w:p>
    <w:p w14:paraId="41AB3099">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队伍精神面貌更加昂扬。强化队伍规范化建设与激励保障，不断优化队伍结构、激发干事活力。启动编制台账管理，对564名在编人员确认编制台账信息。推进档案清理工作，完成454名转隶人员档案整理与数字化建设。坚持一线走访、组织推荐相结合，按需任免了28名副大队长，明确了70名中队长及股室负责人，选派6名骨干投身乡村振兴驻村工作。印发职级晋升方案，统筹启动了3次职级并行工作，先后完成56名参公人员职级晋升。结合岗位实际完成全员岗位设置，分批次、分身份先后办理干部职工岗位聘用备案和职级晋升手续，对符合专技职称晋升条件的及时进行申报和评定，队伍的向心力、凝聚力持续增强。</w:t>
      </w:r>
    </w:p>
    <w:p w14:paraId="0483455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6、坚持从严治党、正风肃纪，在建设清廉队伍中涵养政治生态。</w:t>
      </w:r>
      <w:bookmarkStart w:id="1" w:name="_GoBack"/>
      <w:bookmarkEnd w:id="1"/>
    </w:p>
    <w:p w14:paraId="232B7E7C">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廉政教育成效更加巩固。全面落实中央八项规定精神及上级纪委工作部署，构建“线上+线下+警示”三位一体教育体系。全年开展廉政教育62次，谈心谈话600余人次。深入推进清廉文化建设，开展“好家风·好传承”“清廉家庭”等主题活动，签订清廉家庭、违规吃喝承诺书600余份，编印《清廉执法手册》实现全员覆盖。举办“清风相伴·廉洁同行”主题微党课初赛，打磨推选2个作品参加市局比赛，《筑牢思想防线 永葆清廉本色》获评“市直十佳”并获三等奖；组织70名年轻及新提拔干部赴岳阳监狱接受警示教育，106名中层干部旁听职务犯罪庭审，线上廉政测试覆盖786人次，纪律意识持续筑牢。相关经验做法在“清廉岳阳”公众号重点推介。</w:t>
      </w:r>
    </w:p>
    <w:p w14:paraId="5D8B358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监督防控网络更加健全。健全常态化纪律监督体系，将干部纪律表现、违规吃喝整治、群众身边腐败问题等纳入日常监督和专项检查范围。完善干部管理基础工作，系统梳理近五年受处分人员信息，为评先评优、职级晋升、选拔任用提供重要依据。集中开展干部职工兼职取酬专项排查，共清理违规在企业兼职或开办公司27人次，有效堵塞监管漏洞，构建起全流程、多层次的廉政风险防控网络。</w:t>
      </w:r>
    </w:p>
    <w:p w14:paraId="1CC1E2A9">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作风建设常态更加严实。聚焦执法重点领域，强化监督执纪问责。全年接收并核查问题线索8件，坚持依规依纪处置，给予党纪轻处分4人、党纪重处分4人。持续整治形式主义、官僚主义，大力精简会议文件，规范督查检查，切实为基层减负，推动干部职工将精力集中于履职尽责、服务群众，不断巩固风清气正的政治生态，维护城管执法队伍清廉务实的良好形象。</w:t>
      </w:r>
    </w:p>
    <w:p w14:paraId="3271545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20" w:beforeLines="50" w:line="600" w:lineRule="exact"/>
        <w:ind w:right="11" w:rightChars="0" w:firstLine="667" w:firstLineChars="200"/>
        <w:jc w:val="both"/>
        <w:textAlignment w:val="baseline"/>
        <w:rPr>
          <w:rFonts w:hint="eastAsia" w:ascii="楷体_GB2312" w:hAnsi="楷体_GB2312" w:eastAsia="楷体_GB2312" w:cs="楷体_GB2312"/>
          <w:b/>
          <w:bCs/>
          <w:spacing w:val="6"/>
          <w:kern w:val="0"/>
          <w:sz w:val="32"/>
          <w:szCs w:val="32"/>
          <w:lang w:val="en-US" w:eastAsia="zh-CN"/>
        </w:rPr>
      </w:pPr>
      <w:r>
        <w:rPr>
          <w:rFonts w:hint="eastAsia" w:ascii="楷体_GB2312" w:hAnsi="楷体_GB2312" w:eastAsia="楷体_GB2312" w:cs="楷体_GB2312"/>
          <w:b/>
          <w:bCs/>
          <w:spacing w:val="6"/>
          <w:kern w:val="0"/>
          <w:sz w:val="32"/>
          <w:szCs w:val="32"/>
          <w:lang w:val="en-US" w:eastAsia="zh-CN"/>
        </w:rPr>
        <w:t>（三）资金支出绩效管理情况</w:t>
      </w:r>
    </w:p>
    <w:p w14:paraId="0C4315CD">
      <w:pPr>
        <w:pStyle w:val="2"/>
        <w:keepNext w:val="0"/>
        <w:keepLines w:val="0"/>
        <w:pageBreakBefore w:val="0"/>
        <w:numPr>
          <w:ilvl w:val="0"/>
          <w:numId w:val="0"/>
        </w:numPr>
        <w:wordWrap/>
        <w:overflowPunct/>
        <w:topLinePunct w:val="0"/>
        <w:bidi w:val="0"/>
        <w:spacing w:line="60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w:t>
      </w:r>
      <w:r>
        <w:rPr>
          <w:rFonts w:hint="eastAsia" w:ascii="仿宋_GB2312" w:hAnsi="宋体" w:eastAsia="仿宋_GB2312" w:cs="宋体"/>
          <w:sz w:val="32"/>
          <w:szCs w:val="32"/>
          <w:highlight w:val="none"/>
        </w:rPr>
        <w:t>《中华人民共和国预算法》</w:t>
      </w:r>
      <w:r>
        <w:rPr>
          <w:rFonts w:hint="eastAsia" w:ascii="仿宋_GB2312" w:hAnsi="宋体" w:eastAsia="仿宋_GB2312" w:cs="宋体"/>
          <w:sz w:val="32"/>
          <w:szCs w:val="32"/>
          <w:highlight w:val="none"/>
          <w:lang w:eastAsia="zh-CN"/>
        </w:rPr>
        <w:t>、</w:t>
      </w:r>
      <w:r>
        <w:rPr>
          <w:rFonts w:hint="eastAsia" w:ascii="仿宋_GB2312" w:hAnsi="仿宋_GB2312" w:eastAsia="仿宋_GB2312" w:cs="仿宋_GB2312"/>
          <w:kern w:val="0"/>
          <w:sz w:val="32"/>
          <w:szCs w:val="32"/>
          <w:highlight w:val="none"/>
          <w:lang w:val="en-US" w:eastAsia="zh-CN"/>
        </w:rPr>
        <w:t>《政府会计制度》</w:t>
      </w:r>
      <w:r>
        <w:rPr>
          <w:rFonts w:hint="eastAsia" w:ascii="仿宋_GB2312" w:hAnsi="宋体" w:eastAsia="仿宋_GB2312" w:cs="宋体"/>
          <w:sz w:val="32"/>
          <w:szCs w:val="32"/>
          <w:highlight w:val="none"/>
          <w:lang w:val="en-US" w:eastAsia="zh-CN"/>
        </w:rPr>
        <w:t>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中共岳阳市委办公室 岳阳市人民政府办公室关于印发</w:t>
      </w:r>
      <w:r>
        <w:rPr>
          <w:rFonts w:hint="eastAsia" w:ascii="仿宋" w:hAnsi="仿宋" w:eastAsia="仿宋" w:cs="仿宋"/>
          <w:color w:val="auto"/>
          <w:sz w:val="32"/>
          <w:szCs w:val="32"/>
          <w:lang w:val="en-US" w:eastAsia="zh-CN"/>
        </w:rPr>
        <w:t>&lt;</w:t>
      </w:r>
      <w:r>
        <w:rPr>
          <w:rFonts w:hint="eastAsia" w:ascii="仿宋_GB2312" w:hAnsi="仿宋_GB2312" w:eastAsia="仿宋_GB2312" w:cs="仿宋_GB2312"/>
          <w:color w:val="auto"/>
          <w:sz w:val="32"/>
          <w:szCs w:val="32"/>
          <w:lang w:val="en-US" w:eastAsia="zh-CN"/>
        </w:rPr>
        <w:t>岳阳市</w:t>
      </w:r>
      <w:r>
        <w:rPr>
          <w:rFonts w:hint="eastAsia" w:ascii="仿宋_GB2312" w:hAnsi="仿宋_GB2312" w:eastAsia="仿宋_GB2312" w:cs="仿宋_GB2312"/>
          <w:color w:val="auto"/>
          <w:sz w:val="32"/>
          <w:szCs w:val="32"/>
        </w:rPr>
        <w:t>预算绩效管理</w:t>
      </w:r>
      <w:r>
        <w:rPr>
          <w:rFonts w:hint="eastAsia" w:ascii="仿宋_GB2312" w:hAnsi="仿宋_GB2312" w:eastAsia="仿宋_GB2312" w:cs="仿宋_GB2312"/>
          <w:color w:val="auto"/>
          <w:sz w:val="32"/>
          <w:szCs w:val="32"/>
          <w:lang w:val="en-US" w:eastAsia="zh-CN"/>
        </w:rPr>
        <w:t>实施办法&gt;</w:t>
      </w:r>
      <w:r>
        <w:rPr>
          <w:rFonts w:hint="eastAsia" w:ascii="仿宋_GB2312" w:hAnsi="仿宋_GB2312" w:eastAsia="仿宋_GB2312" w:cs="仿宋_GB2312"/>
          <w:color w:val="auto"/>
          <w:sz w:val="32"/>
          <w:szCs w:val="32"/>
        </w:rPr>
        <w:t>的通知》（岳办</w:t>
      </w:r>
      <w:r>
        <w:rPr>
          <w:rFonts w:hint="eastAsia" w:ascii="仿宋_GB2312" w:hAnsi="仿宋_GB2312" w:eastAsia="仿宋_GB2312" w:cs="仿宋_GB2312"/>
          <w:color w:val="auto"/>
          <w:sz w:val="32"/>
          <w:szCs w:val="32"/>
          <w:lang w:val="en-US" w:eastAsia="zh-CN"/>
        </w:rPr>
        <w:t>发</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sz w:val="32"/>
          <w:szCs w:val="32"/>
          <w:lang w:val="en-US" w:eastAsia="zh-CN"/>
        </w:rPr>
        <w:t>及其他相关文件精神，支队成立了绩效评价和监督小组，定期开展相关工作。</w:t>
      </w:r>
    </w:p>
    <w:p w14:paraId="145BC34F">
      <w:pPr>
        <w:pStyle w:val="3"/>
        <w:keepNext w:val="0"/>
        <w:keepLines w:val="0"/>
        <w:pageBreakBefore w:val="0"/>
        <w:wordWrap/>
        <w:overflowPunct/>
        <w:topLinePunct w:val="0"/>
        <w:bidi w:val="0"/>
        <w:spacing w:line="600" w:lineRule="exact"/>
        <w:ind w:left="0" w:leftChars="0" w:firstLine="643" w:firstLineChars="200"/>
        <w:jc w:val="both"/>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 w:eastAsia="zh-CN"/>
        </w:rPr>
        <w:t>1</w:t>
      </w:r>
      <w:r>
        <w:rPr>
          <w:rFonts w:hint="eastAsia" w:ascii="仿宋_GB2312" w:hAnsi="仿宋_GB2312" w:eastAsia="仿宋_GB2312" w:cs="仿宋_GB2312"/>
          <w:b/>
          <w:bCs/>
          <w:sz w:val="32"/>
          <w:szCs w:val="32"/>
          <w:lang w:val="en" w:eastAsia="zh-CN"/>
        </w:rPr>
        <w:t>、</w:t>
      </w:r>
      <w:r>
        <w:rPr>
          <w:rFonts w:hint="eastAsia" w:ascii="仿宋_GB2312" w:hAnsi="仿宋_GB2312" w:eastAsia="仿宋_GB2312" w:cs="仿宋_GB2312"/>
          <w:b/>
          <w:bCs/>
          <w:sz w:val="32"/>
          <w:szCs w:val="32"/>
          <w:lang w:val="en-US" w:eastAsia="zh-CN"/>
        </w:rPr>
        <w:t>预算及绩效管理</w:t>
      </w:r>
    </w:p>
    <w:p w14:paraId="4D8FE10B">
      <w:pPr>
        <w:pStyle w:val="2"/>
        <w:keepNext w:val="0"/>
        <w:keepLines w:val="0"/>
        <w:pageBreakBefore w:val="0"/>
        <w:wordWrap/>
        <w:overflowPunct/>
        <w:topLinePunct w:val="0"/>
        <w:bidi w:val="0"/>
        <w:spacing w:line="600" w:lineRule="exact"/>
        <w:ind w:firstLine="664" w:firstLineChars="200"/>
        <w:rPr>
          <w:rFonts w:hint="eastAsia" w:ascii="仿宋_GB2312" w:hAnsi="仿宋_GB2312" w:eastAsia="仿宋_GB2312" w:cs="仿宋_GB2312"/>
          <w:spacing w:val="6"/>
          <w:kern w:val="0"/>
          <w:sz w:val="32"/>
          <w:szCs w:val="32"/>
          <w:lang w:val="en-US" w:eastAsia="zh-CN"/>
        </w:rPr>
      </w:pPr>
      <w:r>
        <w:rPr>
          <w:rFonts w:hint="eastAsia" w:ascii="仿宋_GB2312" w:hAnsi="仿宋_GB2312" w:eastAsia="仿宋_GB2312" w:cs="仿宋_GB2312"/>
          <w:spacing w:val="6"/>
          <w:kern w:val="0"/>
          <w:sz w:val="32"/>
          <w:szCs w:val="32"/>
          <w:lang w:val="en-US" w:eastAsia="zh-CN"/>
        </w:rPr>
        <w:t>加强</w:t>
      </w:r>
      <w:r>
        <w:rPr>
          <w:rFonts w:hint="eastAsia" w:ascii="仿宋_GB2312" w:hAnsi="仿宋_GB2312" w:eastAsia="仿宋_GB2312" w:cs="仿宋_GB2312"/>
          <w:spacing w:val="6"/>
          <w:kern w:val="0"/>
          <w:sz w:val="32"/>
          <w:szCs w:val="32"/>
        </w:rPr>
        <w:t>预算管理</w:t>
      </w:r>
      <w:r>
        <w:rPr>
          <w:rFonts w:hint="eastAsia" w:ascii="仿宋_GB2312" w:hAnsi="仿宋_GB2312" w:eastAsia="仿宋_GB2312" w:cs="仿宋_GB2312"/>
          <w:spacing w:val="6"/>
          <w:kern w:val="0"/>
          <w:sz w:val="32"/>
          <w:szCs w:val="32"/>
          <w:lang w:val="en-US" w:eastAsia="zh-CN"/>
        </w:rPr>
        <w:t>，从预算编制环节入手，编制</w:t>
      </w:r>
      <w:r>
        <w:rPr>
          <w:rFonts w:hint="eastAsia" w:ascii="仿宋_GB2312" w:hAnsi="仿宋_GB2312" w:eastAsia="仿宋_GB2312" w:cs="仿宋_GB2312"/>
          <w:spacing w:val="6"/>
          <w:kern w:val="0"/>
          <w:sz w:val="32"/>
          <w:szCs w:val="32"/>
        </w:rPr>
        <w:t>资金预算</w:t>
      </w:r>
      <w:r>
        <w:rPr>
          <w:rFonts w:hint="eastAsia" w:ascii="仿宋_GB2312" w:hAnsi="仿宋_GB2312" w:eastAsia="仿宋_GB2312" w:cs="仿宋_GB2312"/>
          <w:spacing w:val="6"/>
          <w:kern w:val="0"/>
          <w:sz w:val="32"/>
          <w:szCs w:val="32"/>
          <w:lang w:val="en-US" w:eastAsia="zh-CN"/>
        </w:rPr>
        <w:t>必须先</w:t>
      </w:r>
      <w:r>
        <w:rPr>
          <w:rFonts w:hint="eastAsia" w:ascii="仿宋_GB2312" w:hAnsi="仿宋_GB2312" w:eastAsia="仿宋_GB2312" w:cs="仿宋_GB2312"/>
          <w:spacing w:val="6"/>
          <w:kern w:val="0"/>
          <w:sz w:val="32"/>
          <w:szCs w:val="32"/>
        </w:rPr>
        <w:t>编制</w:t>
      </w:r>
      <w:r>
        <w:rPr>
          <w:rFonts w:hint="eastAsia" w:ascii="仿宋_GB2312" w:hAnsi="仿宋_GB2312" w:eastAsia="仿宋_GB2312" w:cs="仿宋_GB2312"/>
          <w:spacing w:val="6"/>
          <w:kern w:val="0"/>
          <w:sz w:val="32"/>
          <w:szCs w:val="32"/>
          <w:lang w:val="en-US" w:eastAsia="zh-CN"/>
        </w:rPr>
        <w:t>预算绩效</w:t>
      </w:r>
      <w:r>
        <w:rPr>
          <w:rFonts w:hint="eastAsia" w:ascii="仿宋_GB2312" w:hAnsi="仿宋_GB2312" w:eastAsia="仿宋_GB2312" w:cs="仿宋_GB2312"/>
          <w:spacing w:val="6"/>
          <w:kern w:val="0"/>
          <w:sz w:val="32"/>
          <w:szCs w:val="32"/>
        </w:rPr>
        <w:t>目标</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各部门、大队根据支队年度工作计划分别制订所负责项目绩效目标草案，财务汇总审核后提交支队办公会研究，做到了资金预算有目标，确保财政资金支出效益。</w:t>
      </w:r>
    </w:p>
    <w:p w14:paraId="18276736">
      <w:pPr>
        <w:pStyle w:val="6"/>
        <w:keepNext w:val="0"/>
        <w:keepLines w:val="0"/>
        <w:widowControl/>
        <w:suppressLineNumbers w:val="0"/>
        <w:spacing w:before="0" w:beforeAutospacing="0" w:after="0" w:afterAutospacing="0"/>
        <w:ind w:left="0" w:right="0" w:firstLine="0"/>
        <w:jc w:val="left"/>
        <w:rPr>
          <w:rFonts w:hint="default" w:eastAsia="宋体"/>
          <w:sz w:val="32"/>
          <w:szCs w:val="32"/>
          <w:lang w:val="en-US" w:eastAsia="zh-CN"/>
        </w:rPr>
      </w:pPr>
      <w:r>
        <w:rPr>
          <w:rFonts w:hint="eastAsia" w:ascii="仿宋_GB2312" w:hAnsi="仿宋_GB2312" w:eastAsia="仿宋_GB2312" w:cs="仿宋_GB2312"/>
          <w:spacing w:val="6"/>
          <w:kern w:val="0"/>
          <w:sz w:val="32"/>
          <w:szCs w:val="32"/>
          <w:lang w:val="en-US" w:eastAsia="zh-CN"/>
        </w:rPr>
        <w:t xml:space="preserve">    </w:t>
      </w:r>
      <w:r>
        <w:rPr>
          <w:rFonts w:hint="eastAsia" w:ascii="CESI仿宋-GB2312" w:hAnsi="CESI仿宋-GB2312" w:eastAsia="CESI仿宋-GB2312" w:cs="CESI仿宋-GB2312"/>
          <w:color w:val="auto"/>
          <w:spacing w:val="6"/>
          <w:kern w:val="0"/>
          <w:sz w:val="32"/>
          <w:szCs w:val="32"/>
          <w:lang w:val="en-US" w:eastAsia="zh-CN"/>
        </w:rPr>
        <w:t>依据</w:t>
      </w:r>
      <w:r>
        <w:rPr>
          <w:rFonts w:hint="eastAsia" w:ascii="CESI仿宋-GB2312" w:hAnsi="CESI仿宋-GB2312" w:eastAsia="CESI仿宋-GB2312" w:cs="CESI仿宋-GB2312"/>
          <w:color w:val="auto"/>
          <w:sz w:val="32"/>
          <w:szCs w:val="32"/>
          <w:lang w:eastAsia="zh-CN"/>
        </w:rPr>
        <w:t>岳阳市财政局</w:t>
      </w:r>
      <w:r>
        <w:rPr>
          <w:rFonts w:hint="eastAsia" w:ascii="仿宋_GB2312" w:hAnsi="仿宋_GB2312" w:eastAsia="仿宋_GB2312" w:cs="仿宋_GB2312"/>
          <w:color w:val="auto"/>
          <w:sz w:val="32"/>
          <w:szCs w:val="32"/>
          <w:lang w:val="en-US" w:eastAsia="zh-CN"/>
        </w:rPr>
        <w:t>《关于印发&lt;岳阳市市级预算部门绩效自评操作规程&gt;的通知》（岳财函〔2022〕209号）文件精神，</w:t>
      </w:r>
      <w:r>
        <w:rPr>
          <w:rFonts w:hint="eastAsia" w:ascii="仿宋_GB2312" w:hAnsi="仿宋_GB2312" w:eastAsia="仿宋_GB2312" w:cs="仿宋_GB2312"/>
          <w:sz w:val="32"/>
          <w:szCs w:val="32"/>
          <w:lang w:val="en-US" w:eastAsia="zh-CN"/>
        </w:rPr>
        <w:t>结合</w:t>
      </w:r>
      <w:r>
        <w:rPr>
          <w:rFonts w:hint="eastAsia" w:ascii="仿宋_GB2312" w:eastAsia="仿宋_GB2312"/>
          <w:sz w:val="32"/>
          <w:szCs w:val="32"/>
          <w:lang w:val="en-US" w:eastAsia="zh-CN"/>
        </w:rPr>
        <w:t>岳阳市2025年市本级财政预算批复和预算绩效目标，支队</w:t>
      </w:r>
      <w:r>
        <w:rPr>
          <w:rFonts w:hint="eastAsia" w:ascii="仿宋_GB2312" w:hAnsi="仿宋_GB2312" w:eastAsia="仿宋_GB2312" w:cs="仿宋_GB2312"/>
          <w:spacing w:val="6"/>
          <w:kern w:val="0"/>
          <w:sz w:val="32"/>
          <w:szCs w:val="32"/>
          <w:lang w:val="en-US" w:eastAsia="zh-CN"/>
        </w:rPr>
        <w:t>于2025年11月初，组织开展了</w:t>
      </w:r>
      <w:r>
        <w:rPr>
          <w:rFonts w:hint="eastAsia" w:ascii="仿宋_GB2312" w:hAnsi="仿宋_GB2312" w:eastAsia="仿宋_GB2312" w:cs="仿宋_GB2312"/>
          <w:spacing w:val="6"/>
          <w:kern w:val="0"/>
          <w:sz w:val="32"/>
          <w:szCs w:val="32"/>
        </w:rPr>
        <w:t>进行预算执行分析</w:t>
      </w:r>
      <w:r>
        <w:rPr>
          <w:rFonts w:hint="eastAsia" w:ascii="仿宋_GB2312" w:hAnsi="仿宋_GB2312" w:eastAsia="仿宋_GB2312" w:cs="仿宋_GB2312"/>
          <w:spacing w:val="6"/>
          <w:kern w:val="0"/>
          <w:sz w:val="32"/>
          <w:szCs w:val="32"/>
          <w:lang w:val="en-US" w:eastAsia="zh-CN"/>
        </w:rPr>
        <w:t>，适时分析预算执行过程中的</w:t>
      </w:r>
      <w:r>
        <w:rPr>
          <w:rFonts w:hint="eastAsia" w:ascii="仿宋_GB2312" w:hAnsi="仿宋_GB2312" w:eastAsia="仿宋_GB2312" w:cs="仿宋_GB2312"/>
          <w:color w:val="000000"/>
          <w:sz w:val="32"/>
          <w:szCs w:val="32"/>
        </w:rPr>
        <w:t>偏差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并及时制定</w:t>
      </w:r>
      <w:r>
        <w:rPr>
          <w:rFonts w:hint="eastAsia" w:ascii="仿宋_GB2312" w:hAnsi="仿宋_GB2312" w:eastAsia="仿宋_GB2312" w:cs="仿宋_GB2312"/>
          <w:color w:val="000000"/>
          <w:sz w:val="32"/>
          <w:szCs w:val="32"/>
        </w:rPr>
        <w:t>改进措施</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spacing w:val="6"/>
          <w:kern w:val="0"/>
          <w:sz w:val="32"/>
          <w:szCs w:val="32"/>
          <w:lang w:val="en-US" w:eastAsia="zh-CN"/>
        </w:rPr>
        <w:t>2026年5月上旬，开始组织对上年经费支出进行绩效自评工作，做到了</w:t>
      </w:r>
      <w:r>
        <w:rPr>
          <w:rFonts w:hint="eastAsia" w:ascii="仿宋_GB2312" w:hAnsi="仿宋_GB2312" w:eastAsia="仿宋_GB2312" w:cs="仿宋_GB2312"/>
          <w:spacing w:val="6"/>
          <w:kern w:val="0"/>
          <w:sz w:val="32"/>
          <w:szCs w:val="32"/>
        </w:rPr>
        <w:t>预算</w:t>
      </w:r>
      <w:r>
        <w:rPr>
          <w:rFonts w:hint="eastAsia" w:ascii="仿宋_GB2312" w:hAnsi="仿宋_GB2312" w:eastAsia="仿宋_GB2312" w:cs="仿宋_GB2312"/>
          <w:spacing w:val="6"/>
          <w:kern w:val="0"/>
          <w:sz w:val="32"/>
          <w:szCs w:val="32"/>
          <w:lang w:val="en-US" w:eastAsia="zh-CN"/>
        </w:rPr>
        <w:t>执行</w:t>
      </w:r>
      <w:r>
        <w:rPr>
          <w:rFonts w:hint="eastAsia" w:ascii="仿宋_GB2312" w:hAnsi="仿宋_GB2312" w:eastAsia="仿宋_GB2312" w:cs="仿宋_GB2312"/>
          <w:spacing w:val="6"/>
          <w:kern w:val="0"/>
          <w:sz w:val="32"/>
          <w:szCs w:val="32"/>
        </w:rPr>
        <w:t>完成有评价</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使单位经济业务从事前、事中、事后得到</w:t>
      </w:r>
      <w:r>
        <w:rPr>
          <w:rFonts w:hint="eastAsia" w:ascii="仿宋_GB2312" w:hAnsi="仿宋_GB2312" w:eastAsia="仿宋_GB2312" w:cs="仿宋_GB2312"/>
          <w:spacing w:val="6"/>
          <w:kern w:val="0"/>
          <w:sz w:val="32"/>
          <w:szCs w:val="32"/>
          <w:lang w:val="en-US" w:eastAsia="zh-CN"/>
        </w:rPr>
        <w:t>了</w:t>
      </w:r>
      <w:r>
        <w:rPr>
          <w:rFonts w:hint="eastAsia" w:ascii="仿宋_GB2312" w:hAnsi="仿宋_GB2312" w:eastAsia="仿宋_GB2312" w:cs="仿宋_GB2312"/>
          <w:spacing w:val="6"/>
          <w:kern w:val="0"/>
          <w:sz w:val="32"/>
          <w:szCs w:val="32"/>
        </w:rPr>
        <w:t>有效管控</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增强了单位管理人员预算意识和绩效意识</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提升了单位预算资金支出绩效。</w:t>
      </w:r>
    </w:p>
    <w:p w14:paraId="7E4FFFBA">
      <w:pPr>
        <w:keepNext w:val="0"/>
        <w:keepLines w:val="0"/>
        <w:pageBreakBefore w:val="0"/>
        <w:kinsoku/>
        <w:wordWrap/>
        <w:overflowPunct/>
        <w:topLinePunct w:val="0"/>
        <w:autoSpaceDE/>
        <w:autoSpaceDN/>
        <w:bidi w:val="0"/>
        <w:adjustRightInd/>
        <w:snapToGrid/>
        <w:spacing w:line="600" w:lineRule="exact"/>
        <w:ind w:firstLine="643" w:firstLineChars="200"/>
        <w:jc w:val="left"/>
        <w:outlineLvl w:val="2"/>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lang w:val="en-US" w:eastAsia="zh-CN"/>
        </w:rPr>
        <w:t>2、</w:t>
      </w:r>
      <w:r>
        <w:rPr>
          <w:rFonts w:hint="eastAsia" w:ascii="仿宋_GB2312" w:hAnsi="仿宋_GB2312" w:eastAsia="仿宋_GB2312" w:cs="仿宋_GB2312"/>
          <w:b/>
          <w:bCs w:val="0"/>
          <w:sz w:val="32"/>
          <w:szCs w:val="32"/>
        </w:rPr>
        <w:t>资金管理情况</w:t>
      </w:r>
    </w:p>
    <w:p w14:paraId="08D8C935">
      <w:pPr>
        <w:ind w:firstLine="640" w:firstLineChars="200"/>
        <w:rPr>
          <w:rFonts w:hint="eastAsia" w:ascii="仿宋_GB2312" w:hAnsi="仿宋_GB2312" w:eastAsia="仿宋_GB2312" w:cs="仿宋_GB2312"/>
          <w:bCs/>
          <w:color w:val="FF0000"/>
          <w:sz w:val="32"/>
          <w:szCs w:val="32"/>
          <w:lang w:val="en-US" w:eastAsia="zh-CN"/>
        </w:rPr>
      </w:pPr>
      <w:r>
        <w:rPr>
          <w:rFonts w:hint="eastAsia" w:ascii="CESI仿宋-GB2312" w:hAnsi="CESI仿宋-GB2312" w:eastAsia="CESI仿宋-GB2312" w:cs="CESI仿宋-GB2312"/>
          <w:sz w:val="32"/>
          <w:szCs w:val="32"/>
          <w:lang w:val="en-US" w:eastAsia="zh-CN"/>
        </w:rPr>
        <w:t>进一步优化了支队各项管理制度，各部门、大队严格按照《财务管理制度》、《</w:t>
      </w:r>
      <w:r>
        <w:rPr>
          <w:rFonts w:hint="eastAsia" w:ascii="CESI仿宋-GB2312" w:hAnsi="CESI仿宋-GB2312" w:eastAsia="CESI仿宋-GB2312" w:cs="CESI仿宋-GB2312"/>
          <w:sz w:val="32"/>
          <w:szCs w:val="32"/>
        </w:rPr>
        <w:t>岳阳市城市管理综合行政执法支队</w:t>
      </w:r>
      <w:r>
        <w:rPr>
          <w:rFonts w:hint="eastAsia" w:ascii="CESI仿宋-GB2312" w:hAnsi="CESI仿宋-GB2312" w:eastAsia="CESI仿宋-GB2312" w:cs="CESI仿宋-GB2312"/>
          <w:sz w:val="32"/>
          <w:szCs w:val="32"/>
          <w:lang w:val="en-US" w:eastAsia="zh-CN"/>
        </w:rPr>
        <w:t>内部控制手册》、《管理考评实施方案》、《规范行政执法程序的规定》、《协管员管理暂行规定》等规章制度执行，支队实行定期讲评制度，每季度公开评选先进集体，纪检部门负责对规章制度实施的具体协调、监督，起到了以讲促进，以评促干的良好效果，有力推动了全年目标任务完成。</w:t>
      </w:r>
    </w:p>
    <w:p w14:paraId="720752E8">
      <w:pPr>
        <w:keepNext w:val="0"/>
        <w:keepLines w:val="0"/>
        <w:pageBreakBefore w:val="0"/>
        <w:wordWrap/>
        <w:overflowPunct/>
        <w:topLinePunct w:val="0"/>
        <w:bidi w:val="0"/>
        <w:spacing w:line="600" w:lineRule="exact"/>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专项资金管理经依法批准的预算执行，按照专款专用的原则，进行日常财务管理和会计核算，配合市财政、监察和审计等部门对项目专项资金的使用和管理情况进行监督检查，并开展绩效评价工作。</w:t>
      </w:r>
    </w:p>
    <w:p w14:paraId="6456A8D0">
      <w:pPr>
        <w:pStyle w:val="2"/>
        <w:keepNext w:val="0"/>
        <w:keepLines w:val="0"/>
        <w:pageBreakBefore w:val="0"/>
        <w:wordWrap/>
        <w:overflowPunct/>
        <w:topLinePunct w:val="0"/>
        <w:bidi w:val="0"/>
        <w:spacing w:line="600" w:lineRule="exact"/>
        <w:ind w:firstLine="643" w:firstLineChars="200"/>
        <w:jc w:val="left"/>
        <w:rPr>
          <w:rFonts w:hint="default"/>
          <w:b/>
          <w:bCs w:val="0"/>
          <w:sz w:val="32"/>
          <w:szCs w:val="32"/>
          <w:lang w:val="en-US" w:eastAsia="zh-CN"/>
        </w:rPr>
      </w:pPr>
      <w:r>
        <w:rPr>
          <w:rFonts w:hint="eastAsia" w:ascii="仿宋_GB2312" w:hAnsi="仿宋_GB2312" w:eastAsia="仿宋_GB2312" w:cs="仿宋_GB2312"/>
          <w:b/>
          <w:bCs w:val="0"/>
          <w:sz w:val="32"/>
          <w:szCs w:val="32"/>
          <w:highlight w:val="none"/>
          <w:lang w:val="en-US" w:eastAsia="zh-CN"/>
        </w:rPr>
        <w:t>3、资产管理情况</w:t>
      </w:r>
    </w:p>
    <w:p w14:paraId="65B282FD">
      <w:pPr>
        <w:pStyle w:val="3"/>
        <w:keepNext w:val="0"/>
        <w:keepLines w:val="0"/>
        <w:pageBreakBefore w:val="0"/>
        <w:wordWrap/>
        <w:overflowPunct/>
        <w:topLinePunct w:val="0"/>
        <w:bidi w:val="0"/>
        <w:spacing w:line="600" w:lineRule="exact"/>
        <w:ind w:left="0" w:leftChars="0" w:firstLine="0" w:firstLineChars="0"/>
        <w:jc w:val="left"/>
        <w:rPr>
          <w:rFonts w:hint="default"/>
          <w:sz w:val="32"/>
          <w:szCs w:val="32"/>
        </w:rPr>
      </w:pPr>
      <w:r>
        <w:rPr>
          <w:rFonts w:hint="eastAsia" w:ascii="仿宋_GB2312" w:hAnsi="仿宋_GB2312" w:eastAsia="仿宋_GB2312" w:cs="仿宋_GB2312"/>
          <w:bCs/>
          <w:sz w:val="32"/>
          <w:szCs w:val="32"/>
          <w:highlight w:val="none"/>
          <w:lang w:val="en-US" w:eastAsia="zh-CN"/>
        </w:rPr>
        <w:t xml:space="preserve">    根据支队工作特点，适时修订了实物管理制度，加强实物资产管理。定期开展资产清查盘点工作，确保账实相符。按照厉行节约、物尽其用的原则，资产管理采取统一建账、统一核算，对每件固定资产使用明确保管职责，闲置资产由办公室统筹调配，合理流转，发挥其使用效益，提高资产资源利用效率，有效降低了单位履职运行成本。固定资产配置和处置，均严格按照规定程序办理，并按固定资产管理办法进行核算与管理。</w:t>
      </w:r>
    </w:p>
    <w:p w14:paraId="2C530BC9">
      <w:pPr>
        <w:keepNext w:val="0"/>
        <w:keepLines w:val="0"/>
        <w:pageBreakBefore w:val="0"/>
        <w:wordWrap/>
        <w:overflowPunct/>
        <w:topLinePunct w:val="0"/>
        <w:bidi w:val="0"/>
        <w:spacing w:line="600" w:lineRule="exact"/>
        <w:ind w:firstLine="643" w:firstLineChars="200"/>
        <w:jc w:val="left"/>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4、政府采购管理情况</w:t>
      </w:r>
    </w:p>
    <w:p w14:paraId="5BCC3022">
      <w:pPr>
        <w:pStyle w:val="2"/>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2025年，支队政府采购项目均严格按照</w:t>
      </w:r>
      <w:r>
        <w:rPr>
          <w:rFonts w:hint="eastAsia" w:ascii="仿宋_GB2312" w:hAnsi="仿宋_GB2312" w:eastAsia="仿宋_GB2312" w:cs="仿宋_GB2312"/>
          <w:color w:val="auto"/>
          <w:sz w:val="32"/>
          <w:szCs w:val="32"/>
        </w:rPr>
        <w:t>《中华人民共和国政府采购法》</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岳阳市财政局关于印发《岳阳市预算单位政府集中采购目录及标准指引（2022版）》的通知（岳财发〔2022〕2号和</w:t>
      </w:r>
      <w:r>
        <w:rPr>
          <w:rFonts w:hint="eastAsia" w:ascii="仿宋_GB2312" w:hAnsi="仿宋_GB2312" w:eastAsia="仿宋_GB2312" w:cs="仿宋_GB2312"/>
          <w:sz w:val="32"/>
          <w:szCs w:val="32"/>
        </w:rPr>
        <w:t>湖南省财政厅印发的《湖南省政府采购电子卖场管理办法》（湘财购［2019]27号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等文件规定的标准和程序执行，全年累计政府采购交易额为</w:t>
      </w:r>
      <w:r>
        <w:rPr>
          <w:rFonts w:hint="eastAsia" w:ascii="仿宋_GB2312" w:hAnsi="仿宋_GB2312" w:eastAsia="仿宋_GB2312" w:cs="仿宋_GB2312"/>
          <w:color w:val="auto"/>
          <w:sz w:val="32"/>
          <w:szCs w:val="32"/>
          <w:lang w:val="en-US" w:eastAsia="zh-CN"/>
        </w:rPr>
        <w:t>359.01</w:t>
      </w:r>
      <w:r>
        <w:rPr>
          <w:rFonts w:hint="eastAsia" w:ascii="仿宋_GB2312" w:hAnsi="仿宋_GB2312" w:eastAsia="仿宋_GB2312" w:cs="仿宋_GB2312"/>
          <w:sz w:val="32"/>
          <w:szCs w:val="32"/>
          <w:lang w:val="en-US" w:eastAsia="zh-CN"/>
        </w:rPr>
        <w:t>万元。</w:t>
      </w:r>
    </w:p>
    <w:p w14:paraId="140DDEA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b/>
          <w:bCs w:val="0"/>
          <w:sz w:val="32"/>
          <w:szCs w:val="32"/>
          <w:highlight w:val="none"/>
          <w:lang w:val="en-US" w:eastAsia="zh-CN"/>
        </w:rPr>
      </w:pPr>
      <w:r>
        <w:rPr>
          <w:rFonts w:hint="eastAsia" w:ascii="仿宋_GB2312" w:hAnsi="仿宋_GB2312" w:eastAsia="仿宋_GB2312" w:cs="仿宋_GB2312"/>
          <w:b/>
          <w:bCs w:val="0"/>
          <w:sz w:val="32"/>
          <w:szCs w:val="32"/>
          <w:highlight w:val="none"/>
          <w:lang w:val="en-US" w:eastAsia="zh-CN"/>
        </w:rPr>
        <w:t>5、运行成本和管理效率</w:t>
      </w:r>
    </w:p>
    <w:p w14:paraId="04D8C9F3">
      <w:pPr>
        <w:pStyle w:val="2"/>
        <w:keepNext w:val="0"/>
        <w:keepLines w:val="0"/>
        <w:pageBreakBefore w:val="0"/>
        <w:numPr>
          <w:ilvl w:val="0"/>
          <w:numId w:val="0"/>
        </w:numPr>
        <w:wordWrap/>
        <w:overflowPunct/>
        <w:topLinePunct w:val="0"/>
        <w:bidi w:val="0"/>
        <w:spacing w:line="600" w:lineRule="exact"/>
        <w:ind w:firstLine="640" w:firstLineChars="200"/>
        <w:jc w:val="left"/>
        <w:rPr>
          <w:rFonts w:hint="eastAsia"/>
          <w:sz w:val="32"/>
          <w:szCs w:val="32"/>
          <w:lang w:val="en-US" w:eastAsia="zh-CN"/>
        </w:rPr>
      </w:pPr>
      <w:r>
        <w:rPr>
          <w:rFonts w:hint="eastAsia" w:ascii="仿宋_GB2312" w:hAnsi="仿宋_GB2312" w:eastAsia="仿宋_GB2312" w:cs="仿宋_GB2312"/>
          <w:sz w:val="32"/>
          <w:szCs w:val="32"/>
          <w:lang w:val="en-US" w:eastAsia="zh-CN"/>
        </w:rPr>
        <w:t>2025年，支队全年预算总金额为8288.80万元（其中一般公共预算金额为8226.15万元、其他资金预算金额为62.65万元），实际支出总金额为7934.65万元，其中基本支出金额为7576.24万元（含其他资金支出2.02万元）、项目支出金额为358.41万元，年度预算执行率为95.73%，单位运行成本控制在年度预算金额之内，资金周转利用效率高。</w:t>
      </w:r>
    </w:p>
    <w:p w14:paraId="7107C4B7">
      <w:pPr>
        <w:pStyle w:val="2"/>
        <w:keepNext w:val="0"/>
        <w:keepLines w:val="0"/>
        <w:pageBreakBefore w:val="0"/>
        <w:numPr>
          <w:ilvl w:val="0"/>
          <w:numId w:val="0"/>
        </w:numPr>
        <w:wordWrap/>
        <w:overflowPunct/>
        <w:topLinePunct w:val="0"/>
        <w:bidi w:val="0"/>
        <w:spacing w:line="600" w:lineRule="exact"/>
        <w:ind w:firstLine="640" w:firstLineChars="200"/>
        <w:jc w:val="left"/>
        <w:rPr>
          <w:rFonts w:hint="default"/>
          <w:color w:val="auto"/>
          <w:sz w:val="32"/>
          <w:szCs w:val="32"/>
        </w:rPr>
      </w:pPr>
      <w:r>
        <w:rPr>
          <w:rFonts w:hint="eastAsia" w:ascii="黑体" w:hAnsi="黑体" w:eastAsia="黑体" w:cs="黑体"/>
          <w:bCs/>
          <w:color w:val="auto"/>
          <w:sz w:val="32"/>
          <w:szCs w:val="32"/>
          <w:highlight w:val="none"/>
          <w:lang w:val="en-US" w:eastAsia="zh-CN"/>
        </w:rPr>
        <w:t>（四）履职效能、社会效应、可持续发展能力和服务对象满意度等方面情况</w:t>
      </w:r>
    </w:p>
    <w:p w14:paraId="77240C0F">
      <w:pPr>
        <w:pStyle w:val="3"/>
        <w:keepNext w:val="0"/>
        <w:keepLines w:val="0"/>
        <w:pageBreakBefore w:val="0"/>
        <w:wordWrap/>
        <w:overflowPunct/>
        <w:topLinePunct w:val="0"/>
        <w:bidi w:val="0"/>
        <w:spacing w:line="600" w:lineRule="exact"/>
        <w:ind w:left="0" w:leftChars="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val="en-US" w:eastAsia="zh-CN"/>
        </w:rPr>
        <w:t>支队始终坚持</w:t>
      </w:r>
      <w:r>
        <w:rPr>
          <w:rFonts w:hint="eastAsia" w:ascii="仿宋_GB2312" w:hAnsi="仿宋_GB2312" w:eastAsia="仿宋_GB2312" w:cs="仿宋_GB2312"/>
          <w:b w:val="0"/>
          <w:bCs w:val="0"/>
          <w:color w:val="auto"/>
          <w:sz w:val="32"/>
          <w:szCs w:val="32"/>
        </w:rPr>
        <w:t>依法行政</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lang w:val="en-US" w:eastAsia="zh-CN"/>
        </w:rPr>
        <w:t>将</w:t>
      </w:r>
      <w:r>
        <w:rPr>
          <w:rFonts w:hint="eastAsia" w:ascii="仿宋_GB2312" w:hAnsi="仿宋_GB2312" w:eastAsia="仿宋_GB2312" w:cs="仿宋_GB2312"/>
          <w:color w:val="auto"/>
          <w:sz w:val="32"/>
          <w:szCs w:val="32"/>
        </w:rPr>
        <w:t>依法履职作为第一准则，严格按照法定权限和程序行使权力，运用法治思维和法治方式推动工作。</w:t>
      </w:r>
      <w:r>
        <w:rPr>
          <w:rFonts w:hint="eastAsia" w:ascii="仿宋_GB2312" w:hAnsi="仿宋_GB2312" w:eastAsia="仿宋_GB2312" w:cs="仿宋_GB2312"/>
          <w:color w:val="auto"/>
          <w:sz w:val="32"/>
          <w:szCs w:val="32"/>
          <w:lang w:eastAsia="zh-CN"/>
        </w:rPr>
        <w:t>积极推进</w:t>
      </w:r>
      <w:r>
        <w:rPr>
          <w:rFonts w:hint="eastAsia" w:ascii="CESI仿宋-GB2312" w:hAnsi="CESI仿宋-GB2312" w:eastAsia="CESI仿宋-GB2312" w:cs="CESI仿宋-GB2312"/>
          <w:b w:val="0"/>
          <w:bCs w:val="0"/>
          <w:color w:val="auto"/>
          <w:kern w:val="2"/>
          <w:sz w:val="32"/>
          <w:szCs w:val="24"/>
          <w:lang w:val="en-US" w:eastAsia="zh-CN" w:bidi="ar-SA"/>
        </w:rPr>
        <w:t>机构改革，落实</w:t>
      </w:r>
      <w:r>
        <w:rPr>
          <w:rFonts w:hint="eastAsia" w:ascii="仿宋_GB2312" w:hAnsi="仿宋_GB2312" w:eastAsia="仿宋_GB2312" w:cs="仿宋_GB2312"/>
          <w:color w:val="auto"/>
          <w:kern w:val="2"/>
          <w:sz w:val="32"/>
          <w:szCs w:val="32"/>
          <w:lang w:val="en-US" w:eastAsia="zh-CN" w:bidi="ar-SA"/>
        </w:rPr>
        <w:t>“一支队伍管执法”的基层治理改革举措，整合资源、优化配置，提升基层执法效能。</w:t>
      </w:r>
      <w:r>
        <w:rPr>
          <w:rFonts w:hint="eastAsia" w:ascii="仿宋_GB2312" w:hAnsi="仿宋_GB2312" w:eastAsia="仿宋_GB2312" w:cs="仿宋_GB2312"/>
          <w:color w:val="auto"/>
          <w:sz w:val="32"/>
          <w:szCs w:val="32"/>
          <w:lang w:val="en-US" w:eastAsia="zh-CN"/>
        </w:rPr>
        <w:t>引入</w:t>
      </w:r>
      <w:r>
        <w:rPr>
          <w:rFonts w:hint="eastAsia" w:ascii="仿宋_GB2312" w:hAnsi="仿宋_GB2312" w:eastAsia="仿宋_GB2312" w:cs="仿宋_GB2312"/>
          <w:color w:val="auto"/>
          <w:sz w:val="32"/>
          <w:szCs w:val="32"/>
        </w:rPr>
        <w:t>法律顾问服务工作，</w:t>
      </w:r>
      <w:r>
        <w:rPr>
          <w:rFonts w:hint="eastAsia" w:ascii="仿宋_GB2312" w:hAnsi="仿宋_GB2312" w:eastAsia="仿宋_GB2312" w:cs="仿宋_GB2312"/>
          <w:color w:val="auto"/>
          <w:sz w:val="32"/>
          <w:szCs w:val="32"/>
          <w:lang w:val="en-US" w:eastAsia="zh-CN"/>
        </w:rPr>
        <w:t>实行</w:t>
      </w:r>
      <w:r>
        <w:rPr>
          <w:rFonts w:hint="eastAsia" w:ascii="仿宋_GB2312" w:hAnsi="仿宋_GB2312" w:eastAsia="仿宋_GB2312" w:cs="仿宋_GB2312"/>
          <w:color w:val="auto"/>
          <w:sz w:val="32"/>
          <w:szCs w:val="32"/>
        </w:rPr>
        <w:t>律师驻队工作模式，切实预防化解行政争议。严格落实行政执法“三项制度”，定期开展行政执法案件评查，确保各项工作始终在法制框架内开展、阳光下运行。</w:t>
      </w:r>
    </w:p>
    <w:p w14:paraId="69393BE2">
      <w:pPr>
        <w:keepNext w:val="0"/>
        <w:keepLines w:val="0"/>
        <w:pageBreakBefore w:val="0"/>
        <w:widowControl/>
        <w:kinsoku w:val="0"/>
        <w:wordWrap/>
        <w:overflowPunct/>
        <w:topLinePunct w:val="0"/>
        <w:autoSpaceDE w:val="0"/>
        <w:autoSpaceDN w:val="0"/>
        <w:bidi w:val="0"/>
        <w:adjustRightInd w:val="0"/>
        <w:snapToGrid w:val="0"/>
        <w:spacing w:before="120" w:beforeLines="50" w:line="600" w:lineRule="exact"/>
        <w:ind w:left="20" w:leftChars="7" w:right="11" w:firstLine="640" w:firstLineChars="200"/>
        <w:jc w:val="left"/>
        <w:textAlignment w:val="baseline"/>
        <w:rPr>
          <w:rFonts w:hint="eastAsia" w:ascii="黑体" w:hAnsi="黑体" w:eastAsia="黑体" w:cs="黑体"/>
          <w:color w:val="auto"/>
          <w:sz w:val="32"/>
          <w:szCs w:val="32"/>
          <w:highlight w:val="none"/>
          <w:lang w:eastAsia="zh-CN"/>
        </w:rPr>
      </w:pPr>
      <w:r>
        <w:rPr>
          <w:rFonts w:hint="eastAsia" w:ascii="仿宋_GB2312" w:hAnsi="仿宋_GB2312" w:eastAsia="仿宋_GB2312" w:cs="仿宋_GB2312"/>
          <w:b w:val="0"/>
          <w:bCs w:val="0"/>
          <w:color w:val="auto"/>
          <w:sz w:val="32"/>
          <w:szCs w:val="32"/>
          <w:lang w:val="en-US" w:eastAsia="zh-CN"/>
        </w:rPr>
        <w:t>在坚持</w:t>
      </w:r>
      <w:r>
        <w:rPr>
          <w:rFonts w:hint="eastAsia" w:ascii="仿宋_GB2312" w:hAnsi="仿宋_GB2312" w:eastAsia="仿宋_GB2312" w:cs="仿宋_GB2312"/>
          <w:b w:val="0"/>
          <w:bCs w:val="0"/>
          <w:color w:val="auto"/>
          <w:sz w:val="32"/>
          <w:szCs w:val="32"/>
        </w:rPr>
        <w:t>依法行政</w:t>
      </w:r>
      <w:r>
        <w:rPr>
          <w:rFonts w:hint="eastAsia" w:ascii="仿宋_GB2312" w:hAnsi="仿宋_GB2312" w:eastAsia="仿宋_GB2312" w:cs="仿宋_GB2312"/>
          <w:b w:val="0"/>
          <w:bCs w:val="0"/>
          <w:color w:val="auto"/>
          <w:sz w:val="32"/>
          <w:szCs w:val="32"/>
          <w:lang w:val="en-US" w:eastAsia="zh-CN"/>
        </w:rPr>
        <w:t>的同时，以宣传劝导与执法相结合的模式开展城市管理工作，</w:t>
      </w:r>
      <w:r>
        <w:rPr>
          <w:rFonts w:hint="eastAsia" w:ascii="仿宋_GB2312" w:hAnsi="仿宋_GB2312" w:eastAsia="仿宋_GB2312" w:cs="仿宋_GB2312"/>
          <w:color w:val="auto"/>
          <w:sz w:val="32"/>
          <w:szCs w:val="32"/>
          <w:lang w:eastAsia="zh-CN"/>
        </w:rPr>
        <w:t>通过人性化的执法方式</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民众对执法结果的接受度明显提高，形成了良好的社会互动氛围，</w:t>
      </w:r>
      <w:r>
        <w:rPr>
          <w:rFonts w:hint="eastAsia" w:ascii="仿宋_GB2312" w:hAnsi="仿宋_GB2312" w:eastAsia="仿宋_GB2312" w:cs="仿宋_GB2312"/>
          <w:color w:val="auto"/>
          <w:sz w:val="32"/>
          <w:szCs w:val="32"/>
        </w:rPr>
        <w:t>实现</w:t>
      </w:r>
      <w:r>
        <w:rPr>
          <w:rFonts w:hint="eastAsia" w:ascii="仿宋_GB2312" w:hAnsi="仿宋_GB2312" w:eastAsia="仿宋_GB2312" w:cs="仿宋_GB2312"/>
          <w:color w:val="auto"/>
          <w:sz w:val="32"/>
          <w:szCs w:val="32"/>
          <w:lang w:val="en-US" w:eastAsia="zh-CN"/>
        </w:rPr>
        <w:t>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办理一</w:t>
      </w:r>
      <w:r>
        <w:rPr>
          <w:rFonts w:hint="eastAsia" w:ascii="仿宋_GB2312" w:hAnsi="仿宋_GB2312" w:eastAsia="仿宋_GB2312" w:cs="仿宋_GB2312"/>
          <w:color w:val="auto"/>
          <w:sz w:val="32"/>
          <w:szCs w:val="32"/>
        </w:rPr>
        <w:t>案、</w:t>
      </w:r>
      <w:r>
        <w:rPr>
          <w:rFonts w:hint="eastAsia" w:ascii="仿宋_GB2312" w:hAnsi="仿宋_GB2312" w:eastAsia="仿宋_GB2312" w:cs="仿宋_GB2312"/>
          <w:color w:val="auto"/>
          <w:sz w:val="32"/>
          <w:szCs w:val="32"/>
          <w:lang w:val="en-US" w:eastAsia="zh-CN"/>
        </w:rPr>
        <w:t>解决一类</w:t>
      </w:r>
      <w:r>
        <w:rPr>
          <w:rFonts w:hint="eastAsia" w:ascii="仿宋_GB2312" w:hAnsi="仿宋_GB2312" w:eastAsia="仿宋_GB2312" w:cs="仿宋_GB2312"/>
          <w:color w:val="auto"/>
          <w:sz w:val="32"/>
          <w:szCs w:val="32"/>
        </w:rPr>
        <w:t>”的执法效果与社会效果有机统一，践行了为民初心</w:t>
      </w:r>
      <w:r>
        <w:rPr>
          <w:rFonts w:hint="eastAsia" w:ascii="仿宋_GB2312" w:hAnsi="仿宋_GB2312" w:eastAsia="仿宋_GB2312" w:cs="仿宋_GB2312"/>
          <w:color w:val="auto"/>
          <w:sz w:val="32"/>
          <w:szCs w:val="32"/>
          <w:lang w:eastAsia="zh-CN"/>
        </w:rPr>
        <w:t>，增强了公众信任。</w:t>
      </w:r>
      <w:r>
        <w:rPr>
          <w:rFonts w:hint="eastAsia" w:ascii="仿宋_GB2312" w:hAnsi="仿宋_GB2312" w:eastAsia="仿宋_GB2312" w:cs="仿宋_GB2312"/>
          <w:color w:val="auto"/>
          <w:sz w:val="32"/>
          <w:szCs w:val="32"/>
          <w:lang w:val="en-US" w:eastAsia="zh-CN"/>
        </w:rPr>
        <w:t>中心城区市容市貌整体提升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得到了领导和市民的普遍赞誉。</w:t>
      </w:r>
    </w:p>
    <w:p w14:paraId="140F66EE">
      <w:pPr>
        <w:pStyle w:val="2"/>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r>
        <w:rPr>
          <w:rFonts w:hint="eastAsia" w:ascii="黑体" w:hAnsi="黑体" w:eastAsia="黑体" w:cs="黑体"/>
          <w:b w:val="0"/>
          <w:bCs w:val="0"/>
          <w:sz w:val="32"/>
          <w:szCs w:val="32"/>
          <w:highlight w:val="none"/>
          <w:lang w:val="en-US" w:eastAsia="zh-CN"/>
        </w:rPr>
        <w:t>（五）评价结果</w:t>
      </w:r>
    </w:p>
    <w:p w14:paraId="223CE18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eastAsia="zh-CN"/>
        </w:rPr>
        <w:t>，岳阳市城市管理综合行政执法支队</w:t>
      </w:r>
      <w:r>
        <w:rPr>
          <w:rFonts w:hint="eastAsia" w:ascii="仿宋_GB2312" w:hAnsi="仿宋_GB2312" w:eastAsia="仿宋_GB2312" w:cs="仿宋_GB2312"/>
          <w:sz w:val="32"/>
          <w:szCs w:val="32"/>
          <w:highlight w:val="none"/>
        </w:rPr>
        <w:t>认真履行本部门职能职责，各部门年初目标任务</w:t>
      </w:r>
      <w:r>
        <w:rPr>
          <w:rFonts w:hint="eastAsia" w:ascii="仿宋_GB2312" w:hAnsi="仿宋_GB2312" w:eastAsia="仿宋_GB2312" w:cs="仿宋_GB2312"/>
          <w:sz w:val="32"/>
          <w:szCs w:val="32"/>
          <w:highlight w:val="none"/>
          <w:lang w:eastAsia="zh-CN"/>
        </w:rPr>
        <w:t>圆满完成</w:t>
      </w:r>
      <w:r>
        <w:rPr>
          <w:rFonts w:hint="eastAsia" w:ascii="仿宋_GB2312" w:hAnsi="仿宋_GB2312" w:eastAsia="仿宋_GB2312" w:cs="仿宋_GB2312"/>
          <w:sz w:val="32"/>
          <w:szCs w:val="32"/>
          <w:highlight w:val="none"/>
        </w:rPr>
        <w:t>，预算成本控制较好，整体支出绩效良好，达到</w:t>
      </w:r>
      <w:r>
        <w:rPr>
          <w:rFonts w:hint="eastAsia" w:ascii="仿宋_GB2312" w:hAnsi="仿宋_GB2312" w:eastAsia="仿宋_GB2312" w:cs="仿宋_GB2312"/>
          <w:sz w:val="32"/>
          <w:szCs w:val="32"/>
          <w:highlight w:val="none"/>
          <w:lang w:val="en-US" w:eastAsia="zh-CN"/>
        </w:rPr>
        <w:t>了</w:t>
      </w:r>
      <w:r>
        <w:rPr>
          <w:rFonts w:hint="eastAsia" w:ascii="仿宋_GB2312" w:hAnsi="仿宋_GB2312" w:eastAsia="仿宋_GB2312" w:cs="仿宋_GB2312"/>
          <w:sz w:val="32"/>
          <w:szCs w:val="32"/>
          <w:highlight w:val="none"/>
        </w:rPr>
        <w:t>既定的目标要求</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评价小组依</w:t>
      </w:r>
      <w:r>
        <w:rPr>
          <w:rFonts w:hint="eastAsia" w:ascii="仿宋_GB2312" w:hAnsi="仿宋_GB2312" w:eastAsia="仿宋_GB2312" w:cs="仿宋_GB2312"/>
          <w:sz w:val="32"/>
          <w:szCs w:val="32"/>
          <w:highlight w:val="none"/>
        </w:rPr>
        <w:t>据</w:t>
      </w:r>
      <w:r>
        <w:rPr>
          <w:rFonts w:hint="eastAsia" w:ascii="仿宋_GB2312" w:hAnsi="仿宋_GB2312" w:eastAsia="仿宋_GB2312" w:cs="仿宋_GB2312"/>
          <w:sz w:val="32"/>
          <w:szCs w:val="32"/>
          <w:highlight w:val="none"/>
          <w:lang w:val="en-US" w:eastAsia="zh-CN"/>
        </w:rPr>
        <w:t>岳阳市财政局《关于印发&lt;岳阳市市级预算部门绩效自评操作规程&gt;的通知》岳财函〔2022〕209号文件规定相关</w:t>
      </w:r>
      <w:r>
        <w:rPr>
          <w:rFonts w:hint="eastAsia" w:ascii="仿宋_GB2312" w:hAnsi="仿宋_GB2312" w:eastAsia="仿宋_GB2312" w:cs="仿宋_GB2312"/>
          <w:sz w:val="32"/>
          <w:szCs w:val="32"/>
          <w:highlight w:val="none"/>
        </w:rPr>
        <w:t>评价指标</w:t>
      </w:r>
      <w:r>
        <w:rPr>
          <w:rFonts w:hint="eastAsia" w:ascii="仿宋_GB2312" w:hAnsi="仿宋_GB2312" w:eastAsia="仿宋_GB2312" w:cs="仿宋_GB2312"/>
          <w:sz w:val="32"/>
          <w:szCs w:val="32"/>
          <w:highlight w:val="none"/>
          <w:lang w:val="en-US" w:eastAsia="zh-CN"/>
        </w:rPr>
        <w:t>和标准进行了</w:t>
      </w:r>
      <w:r>
        <w:rPr>
          <w:rFonts w:hint="eastAsia" w:ascii="仿宋_GB2312" w:hAnsi="仿宋_GB2312" w:eastAsia="仿宋_GB2312" w:cs="仿宋_GB2312"/>
          <w:sz w:val="32"/>
          <w:szCs w:val="32"/>
          <w:highlight w:val="none"/>
        </w:rPr>
        <w:t>评分，20</w:t>
      </w: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rPr>
        <w:t>年单位整体支出绩效自评得分为</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auto"/>
          <w:sz w:val="32"/>
          <w:szCs w:val="32"/>
          <w:highlight w:val="none"/>
        </w:rPr>
        <w:t>9</w:t>
      </w:r>
      <w:r>
        <w:rPr>
          <w:rFonts w:hint="default" w:ascii="仿宋_GB2312" w:hAnsi="仿宋_GB2312" w:eastAsia="仿宋_GB2312" w:cs="仿宋_GB2312"/>
          <w:color w:val="auto"/>
          <w:sz w:val="32"/>
          <w:szCs w:val="32"/>
          <w:highlight w:val="none"/>
          <w:lang w:val="en" w:eastAsia="zh-CN"/>
        </w:rPr>
        <w:t>7.</w:t>
      </w:r>
      <w:r>
        <w:rPr>
          <w:rFonts w:hint="eastAsia" w:ascii="仿宋_GB2312" w:hAnsi="仿宋_GB2312" w:eastAsia="仿宋_GB2312" w:cs="仿宋_GB2312"/>
          <w:color w:val="auto"/>
          <w:sz w:val="32"/>
          <w:szCs w:val="32"/>
          <w:highlight w:val="none"/>
          <w:lang w:val="en-US" w:eastAsia="zh-CN"/>
        </w:rPr>
        <w:t>57”</w:t>
      </w:r>
      <w:r>
        <w:rPr>
          <w:rFonts w:hint="eastAsia" w:ascii="仿宋_GB2312" w:hAnsi="仿宋_GB2312" w:eastAsia="仿宋_GB2312" w:cs="仿宋_GB2312"/>
          <w:sz w:val="32"/>
          <w:szCs w:val="32"/>
          <w:highlight w:val="none"/>
        </w:rPr>
        <w:t>分</w:t>
      </w:r>
      <w:r>
        <w:rPr>
          <w:rFonts w:hint="eastAsia" w:ascii="仿宋_GB2312" w:hAnsi="仿宋_GB2312" w:eastAsia="仿宋_GB2312" w:cs="仿宋_GB2312"/>
          <w:sz w:val="32"/>
          <w:szCs w:val="32"/>
          <w:highlight w:val="none"/>
          <w:lang w:val="en-US" w:eastAsia="zh-CN"/>
        </w:rPr>
        <w:t>，评定等级为优秀</w:t>
      </w:r>
      <w:r>
        <w:rPr>
          <w:rFonts w:hint="eastAsia" w:ascii="仿宋_GB2312" w:hAnsi="仿宋_GB2312" w:eastAsia="仿宋_GB2312" w:cs="仿宋_GB2312"/>
          <w:sz w:val="32"/>
          <w:szCs w:val="32"/>
          <w:highlight w:val="none"/>
          <w:lang w:eastAsia="zh-CN"/>
        </w:rPr>
        <w:t>。</w:t>
      </w:r>
    </w:p>
    <w:p w14:paraId="421A388A">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default" w:ascii="Times New Roman" w:hAnsi="Times New Roman" w:eastAsia="黑体" w:cs="Times New Roman"/>
          <w:sz w:val="32"/>
          <w:szCs w:val="32"/>
          <w:highlight w:val="none"/>
          <w:lang w:val="en-US" w:eastAsia="zh-CN"/>
        </w:rPr>
      </w:pPr>
      <w:r>
        <w:rPr>
          <w:rFonts w:hint="eastAsia" w:ascii="Times New Roman" w:hAnsi="Times New Roman" w:eastAsia="黑体" w:cs="Times New Roman"/>
          <w:sz w:val="32"/>
          <w:szCs w:val="32"/>
          <w:highlight w:val="none"/>
          <w:lang w:val="en-US" w:eastAsia="zh-CN"/>
        </w:rPr>
        <w:t>七、</w:t>
      </w:r>
      <w:r>
        <w:rPr>
          <w:rFonts w:hint="default" w:ascii="Times New Roman" w:hAnsi="Times New Roman" w:eastAsia="黑体" w:cs="Times New Roman"/>
          <w:sz w:val="32"/>
          <w:szCs w:val="32"/>
          <w:highlight w:val="none"/>
          <w:lang w:val="en-US" w:eastAsia="zh-CN"/>
        </w:rPr>
        <w:t>存在的问题及原因分析</w:t>
      </w:r>
    </w:p>
    <w:p w14:paraId="2F98B8C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sz w:val="32"/>
          <w:szCs w:val="32"/>
          <w:highlight w:val="none"/>
          <w:lang w:val="en-US" w:eastAsia="zh-CN"/>
        </w:rPr>
        <w:t>预算绩效目标编制不够规范，</w:t>
      </w:r>
      <w:r>
        <w:rPr>
          <w:rFonts w:hint="eastAsia" w:ascii="仿宋_GB2312" w:hAnsi="仿宋_GB2312" w:eastAsia="仿宋_GB2312" w:cs="仿宋_GB2312"/>
          <w:sz w:val="32"/>
          <w:szCs w:val="32"/>
          <w:highlight w:val="none"/>
          <w:lang w:eastAsia="zh-CN"/>
        </w:rPr>
        <w:t>指标</w:t>
      </w:r>
      <w:r>
        <w:rPr>
          <w:rFonts w:hint="eastAsia" w:ascii="仿宋_GB2312" w:hAnsi="仿宋_GB2312" w:eastAsia="仿宋_GB2312" w:cs="仿宋_GB2312"/>
          <w:sz w:val="32"/>
          <w:szCs w:val="32"/>
          <w:highlight w:val="none"/>
          <w:lang w:val="en-US" w:eastAsia="zh-CN"/>
        </w:rPr>
        <w:t>关联细化程度有待进一步提升，</w:t>
      </w:r>
      <w:r>
        <w:rPr>
          <w:rFonts w:hint="eastAsia" w:ascii="仿宋_GB2312" w:hAnsi="仿宋_GB2312" w:eastAsia="仿宋_GB2312" w:cs="仿宋_GB2312"/>
          <w:sz w:val="32"/>
          <w:szCs w:val="32"/>
          <w:highlight w:val="none"/>
          <w:lang w:eastAsia="zh-CN"/>
        </w:rPr>
        <w:t>可衡量性不强。</w:t>
      </w:r>
      <w:r>
        <w:rPr>
          <w:rFonts w:hint="eastAsia" w:ascii="仿宋_GB2312" w:hAnsi="仿宋_GB2312" w:eastAsia="仿宋_GB2312" w:cs="仿宋_GB2312"/>
          <w:sz w:val="32"/>
          <w:szCs w:val="32"/>
          <w:highlight w:val="none"/>
          <w:lang w:val="en-US" w:eastAsia="zh-CN"/>
        </w:rPr>
        <w:t>主要原因为</w:t>
      </w:r>
      <w:r>
        <w:rPr>
          <w:rFonts w:hint="eastAsia" w:ascii="仿宋_GB2312" w:hAnsi="仿宋_GB2312" w:eastAsia="仿宋_GB2312" w:cs="仿宋_GB2312"/>
          <w:sz w:val="32"/>
          <w:szCs w:val="32"/>
          <w:highlight w:val="none"/>
          <w:lang w:eastAsia="zh-CN"/>
        </w:rPr>
        <w:t>绩效管理</w:t>
      </w:r>
      <w:r>
        <w:rPr>
          <w:rFonts w:hint="eastAsia" w:ascii="仿宋_GB2312" w:hAnsi="仿宋_GB2312" w:eastAsia="仿宋_GB2312" w:cs="仿宋_GB2312"/>
          <w:sz w:val="32"/>
          <w:szCs w:val="32"/>
          <w:highlight w:val="none"/>
          <w:lang w:val="en-US" w:eastAsia="zh-CN"/>
        </w:rPr>
        <w:t>由财务部门兼任，</w:t>
      </w:r>
      <w:r>
        <w:rPr>
          <w:rFonts w:hint="eastAsia" w:ascii="仿宋_GB2312" w:hAnsi="仿宋_GB2312" w:eastAsia="仿宋_GB2312" w:cs="仿宋_GB2312"/>
          <w:sz w:val="32"/>
          <w:szCs w:val="32"/>
          <w:highlight w:val="none"/>
          <w:lang w:eastAsia="zh-CN"/>
        </w:rPr>
        <w:t>财务人员大多</w:t>
      </w:r>
      <w:r>
        <w:rPr>
          <w:rFonts w:hint="eastAsia" w:ascii="仿宋_GB2312" w:hAnsi="仿宋_GB2312" w:eastAsia="仿宋_GB2312" w:cs="仿宋_GB2312"/>
          <w:sz w:val="32"/>
          <w:szCs w:val="32"/>
          <w:highlight w:val="none"/>
          <w:lang w:val="en-US" w:eastAsia="zh-CN"/>
        </w:rPr>
        <w:t>非</w:t>
      </w:r>
      <w:r>
        <w:rPr>
          <w:rFonts w:hint="eastAsia" w:ascii="仿宋_GB2312" w:hAnsi="仿宋_GB2312" w:eastAsia="仿宋_GB2312" w:cs="仿宋_GB2312"/>
          <w:sz w:val="32"/>
          <w:szCs w:val="32"/>
          <w:highlight w:val="none"/>
          <w:lang w:eastAsia="zh-CN"/>
        </w:rPr>
        <w:t>会计、财务管理等专业</w:t>
      </w:r>
      <w:r>
        <w:rPr>
          <w:rFonts w:hint="eastAsia" w:ascii="仿宋_GB2312" w:hAnsi="仿宋_GB2312" w:eastAsia="仿宋_GB2312" w:cs="仿宋_GB2312"/>
          <w:sz w:val="32"/>
          <w:szCs w:val="32"/>
          <w:highlight w:val="none"/>
          <w:lang w:val="en-US" w:eastAsia="zh-CN"/>
        </w:rPr>
        <w:t>人员</w:t>
      </w:r>
      <w:r>
        <w:rPr>
          <w:rFonts w:hint="eastAsia" w:ascii="仿宋_GB2312" w:hAnsi="仿宋_GB2312" w:eastAsia="仿宋_GB2312" w:cs="仿宋_GB2312"/>
          <w:sz w:val="32"/>
          <w:szCs w:val="32"/>
          <w:highlight w:val="none"/>
          <w:lang w:eastAsia="zh-CN"/>
        </w:rPr>
        <w:t>，绩效</w:t>
      </w:r>
      <w:r>
        <w:rPr>
          <w:rFonts w:hint="eastAsia" w:ascii="仿宋_GB2312" w:hAnsi="仿宋_GB2312" w:eastAsia="仿宋_GB2312" w:cs="仿宋_GB2312"/>
          <w:sz w:val="32"/>
          <w:szCs w:val="32"/>
          <w:highlight w:val="none"/>
          <w:lang w:val="en-US" w:eastAsia="zh-CN"/>
        </w:rPr>
        <w:t>管理不但</w:t>
      </w:r>
      <w:r>
        <w:rPr>
          <w:rFonts w:hint="eastAsia" w:ascii="仿宋_GB2312" w:hAnsi="仿宋_GB2312" w:eastAsia="仿宋_GB2312" w:cs="仿宋_GB2312"/>
          <w:sz w:val="32"/>
          <w:szCs w:val="32"/>
          <w:highlight w:val="none"/>
          <w:lang w:eastAsia="zh-CN"/>
        </w:rPr>
        <w:t>需要掌握财经知识，还</w:t>
      </w:r>
      <w:r>
        <w:rPr>
          <w:rFonts w:hint="eastAsia" w:ascii="仿宋_GB2312" w:hAnsi="仿宋_GB2312" w:eastAsia="仿宋_GB2312" w:cs="仿宋_GB2312"/>
          <w:sz w:val="32"/>
          <w:szCs w:val="32"/>
          <w:highlight w:val="none"/>
          <w:lang w:val="en-US" w:eastAsia="zh-CN"/>
        </w:rPr>
        <w:t>需</w:t>
      </w:r>
      <w:r>
        <w:rPr>
          <w:rFonts w:hint="eastAsia" w:ascii="仿宋_GB2312" w:hAnsi="仿宋_GB2312" w:eastAsia="仿宋_GB2312" w:cs="仿宋_GB2312"/>
          <w:sz w:val="32"/>
          <w:szCs w:val="32"/>
          <w:highlight w:val="none"/>
          <w:lang w:eastAsia="zh-CN"/>
        </w:rPr>
        <w:t>熟悉相关政策、了解项目业务</w:t>
      </w:r>
      <w:r>
        <w:rPr>
          <w:rFonts w:hint="eastAsia" w:ascii="仿宋_GB2312" w:hAnsi="仿宋_GB2312" w:eastAsia="仿宋_GB2312" w:cs="仿宋_GB2312"/>
          <w:sz w:val="32"/>
          <w:szCs w:val="32"/>
          <w:highlight w:val="none"/>
          <w:lang w:val="en-US" w:eastAsia="zh-CN"/>
        </w:rPr>
        <w:t>情况</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需要</w:t>
      </w:r>
      <w:r>
        <w:rPr>
          <w:rFonts w:hint="eastAsia" w:ascii="仿宋_GB2312" w:hAnsi="仿宋_GB2312" w:eastAsia="仿宋_GB2312" w:cs="仿宋_GB2312"/>
          <w:sz w:val="32"/>
          <w:szCs w:val="32"/>
          <w:highlight w:val="none"/>
          <w:lang w:eastAsia="zh-CN"/>
        </w:rPr>
        <w:t>具备管理学、法学、统计学等方面的知识，并</w:t>
      </w:r>
      <w:r>
        <w:rPr>
          <w:rFonts w:hint="eastAsia" w:ascii="仿宋_GB2312" w:hAnsi="仿宋_GB2312" w:eastAsia="仿宋_GB2312" w:cs="仿宋_GB2312"/>
          <w:sz w:val="32"/>
          <w:szCs w:val="32"/>
          <w:highlight w:val="none"/>
          <w:lang w:val="en-US" w:eastAsia="zh-CN"/>
        </w:rPr>
        <w:t>需要</w:t>
      </w:r>
      <w:r>
        <w:rPr>
          <w:rFonts w:hint="eastAsia" w:ascii="仿宋_GB2312" w:hAnsi="仿宋_GB2312" w:eastAsia="仿宋_GB2312" w:cs="仿宋_GB2312"/>
          <w:sz w:val="32"/>
          <w:szCs w:val="32"/>
          <w:highlight w:val="none"/>
          <w:lang w:eastAsia="zh-CN"/>
        </w:rPr>
        <w:t>持续更新知识体系</w:t>
      </w:r>
      <w:r>
        <w:rPr>
          <w:rFonts w:hint="eastAsia" w:ascii="仿宋_GB2312" w:hAnsi="仿宋_GB2312" w:eastAsia="仿宋_GB2312" w:cs="仿宋_GB2312"/>
          <w:sz w:val="32"/>
          <w:szCs w:val="32"/>
          <w:highlight w:val="none"/>
          <w:lang w:val="en-US" w:eastAsia="zh-CN"/>
        </w:rPr>
        <w:t>。</w:t>
      </w:r>
    </w:p>
    <w:p w14:paraId="5C00D5B2">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eastAsia" w:ascii="黑体" w:hAnsi="黑体" w:eastAsia="黑体" w:cs="黑体"/>
          <w:sz w:val="32"/>
          <w:szCs w:val="32"/>
          <w:highlight w:val="none"/>
          <w:lang w:eastAsia="zh-CN"/>
        </w:rPr>
      </w:pPr>
      <w:r>
        <w:rPr>
          <w:rFonts w:hint="eastAsia" w:ascii="Times New Roman" w:hAnsi="Times New Roman" w:eastAsia="黑体" w:cs="Times New Roman"/>
          <w:sz w:val="32"/>
          <w:szCs w:val="32"/>
          <w:highlight w:val="none"/>
          <w:lang w:val="en-US" w:eastAsia="zh-CN"/>
        </w:rPr>
        <w:t>八、</w:t>
      </w:r>
      <w:r>
        <w:rPr>
          <w:rFonts w:hint="default" w:ascii="Times New Roman" w:hAnsi="Times New Roman" w:eastAsia="黑体" w:cs="Times New Roman"/>
          <w:sz w:val="32"/>
          <w:szCs w:val="32"/>
          <w:highlight w:val="none"/>
        </w:rPr>
        <w:t>下一步改进措施</w:t>
      </w:r>
    </w:p>
    <w:p w14:paraId="4CA6B820">
      <w:pPr>
        <w:pStyle w:val="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sz w:val="32"/>
          <w:szCs w:val="32"/>
          <w:highlight w:val="none"/>
          <w:lang w:eastAsia="zh-CN"/>
        </w:rPr>
      </w:pPr>
      <w:r>
        <w:rPr>
          <w:rFonts w:hint="eastAsia" w:ascii="仿宋_GB2312" w:hAnsi="仿宋_GB2312" w:eastAsia="仿宋_GB2312" w:cs="仿宋_GB2312"/>
          <w:b w:val="0"/>
          <w:bCs/>
          <w:color w:val="auto"/>
          <w:sz w:val="32"/>
          <w:szCs w:val="32"/>
          <w:highlight w:val="none"/>
          <w:shd w:val="clear" w:color="auto" w:fill="FFFFFF"/>
          <w:lang w:eastAsia="zh-CN"/>
        </w:rPr>
        <w:t>加快</w:t>
      </w:r>
      <w:r>
        <w:rPr>
          <w:rFonts w:hint="eastAsia" w:ascii="仿宋_GB2312" w:hAnsi="仿宋_GB2312" w:eastAsia="仿宋_GB2312" w:cs="仿宋_GB2312"/>
          <w:b w:val="0"/>
          <w:bCs/>
          <w:color w:val="auto"/>
          <w:sz w:val="32"/>
          <w:szCs w:val="32"/>
          <w:highlight w:val="none"/>
          <w:shd w:val="clear" w:color="auto" w:fill="FFFFFF"/>
          <w:lang w:val="en-US" w:eastAsia="zh-CN"/>
        </w:rPr>
        <w:t>人才</w:t>
      </w:r>
      <w:r>
        <w:rPr>
          <w:rFonts w:hint="eastAsia" w:ascii="仿宋_GB2312" w:hAnsi="仿宋_GB2312" w:eastAsia="仿宋_GB2312" w:cs="仿宋_GB2312"/>
          <w:b w:val="0"/>
          <w:bCs/>
          <w:color w:val="auto"/>
          <w:sz w:val="32"/>
          <w:szCs w:val="32"/>
          <w:highlight w:val="none"/>
          <w:shd w:val="clear" w:color="auto" w:fill="FFFFFF"/>
          <w:lang w:eastAsia="zh-CN"/>
        </w:rPr>
        <w:t>队伍建设，提</w:t>
      </w:r>
      <w:r>
        <w:rPr>
          <w:rFonts w:hint="eastAsia" w:ascii="仿宋_GB2312" w:hAnsi="仿宋_GB2312" w:eastAsia="仿宋_GB2312" w:cs="仿宋_GB2312"/>
          <w:b w:val="0"/>
          <w:bCs/>
          <w:color w:val="auto"/>
          <w:sz w:val="32"/>
          <w:szCs w:val="32"/>
          <w:highlight w:val="none"/>
          <w:shd w:val="clear" w:color="auto" w:fill="FFFFFF"/>
          <w:lang w:val="en-US" w:eastAsia="zh-CN"/>
        </w:rPr>
        <w:t>升绩效</w:t>
      </w:r>
      <w:r>
        <w:rPr>
          <w:rFonts w:hint="eastAsia" w:ascii="仿宋_GB2312" w:hAnsi="仿宋_GB2312" w:eastAsia="仿宋_GB2312" w:cs="仿宋_GB2312"/>
          <w:b w:val="0"/>
          <w:bCs/>
          <w:color w:val="auto"/>
          <w:sz w:val="32"/>
          <w:szCs w:val="32"/>
          <w:highlight w:val="none"/>
          <w:shd w:val="clear" w:color="auto" w:fill="FFFFFF"/>
          <w:lang w:eastAsia="zh-CN"/>
        </w:rPr>
        <w:t>管理人员专业水平。</w:t>
      </w:r>
      <w:r>
        <w:rPr>
          <w:rFonts w:hint="eastAsia" w:ascii="仿宋_GB2312" w:hAnsi="仿宋_GB2312" w:eastAsia="仿宋_GB2312" w:cs="仿宋_GB2312"/>
          <w:b w:val="0"/>
          <w:bCs/>
          <w:color w:val="000000"/>
          <w:sz w:val="32"/>
          <w:szCs w:val="32"/>
          <w:highlight w:val="none"/>
          <w:shd w:val="clear" w:color="auto" w:fill="FFFFFF"/>
          <w:lang w:val="en-US" w:eastAsia="zh-CN"/>
        </w:rPr>
        <w:t>引进专业</w:t>
      </w:r>
      <w:r>
        <w:rPr>
          <w:rFonts w:hint="eastAsia" w:ascii="仿宋_GB2312" w:hAnsi="仿宋_GB2312" w:eastAsia="仿宋_GB2312" w:cs="仿宋_GB2312"/>
          <w:b w:val="0"/>
          <w:bCs/>
          <w:color w:val="000000"/>
          <w:sz w:val="32"/>
          <w:szCs w:val="32"/>
          <w:highlight w:val="none"/>
          <w:shd w:val="clear" w:color="auto" w:fill="FFFFFF"/>
          <w:lang w:eastAsia="zh-CN"/>
        </w:rPr>
        <w:t>人</w:t>
      </w:r>
      <w:r>
        <w:rPr>
          <w:rFonts w:hint="eastAsia" w:ascii="仿宋_GB2312" w:hAnsi="仿宋_GB2312" w:eastAsia="仿宋_GB2312" w:cs="仿宋_GB2312"/>
          <w:b w:val="0"/>
          <w:bCs/>
          <w:color w:val="000000"/>
          <w:sz w:val="32"/>
          <w:szCs w:val="32"/>
          <w:highlight w:val="none"/>
          <w:shd w:val="clear" w:color="auto" w:fill="FFFFFF"/>
          <w:lang w:val="en-US" w:eastAsia="zh-CN"/>
        </w:rPr>
        <w:t>才</w:t>
      </w:r>
      <w:r>
        <w:rPr>
          <w:rFonts w:hint="eastAsia" w:ascii="仿宋_GB2312" w:hAnsi="仿宋_GB2312" w:eastAsia="仿宋_GB2312" w:cs="仿宋_GB2312"/>
          <w:b w:val="0"/>
          <w:bCs/>
          <w:color w:val="000000"/>
          <w:sz w:val="32"/>
          <w:szCs w:val="32"/>
          <w:highlight w:val="none"/>
          <w:shd w:val="clear" w:color="auto" w:fill="FFFFFF"/>
          <w:lang w:eastAsia="zh-CN"/>
        </w:rPr>
        <w:t>，</w:t>
      </w:r>
      <w:r>
        <w:rPr>
          <w:rFonts w:hint="eastAsia" w:ascii="仿宋_GB2312" w:hAnsi="仿宋_GB2312" w:eastAsia="仿宋_GB2312" w:cs="仿宋_GB2312"/>
          <w:b w:val="0"/>
          <w:bCs/>
          <w:color w:val="000000"/>
          <w:sz w:val="32"/>
          <w:szCs w:val="32"/>
          <w:highlight w:val="none"/>
          <w:shd w:val="clear" w:color="auto" w:fill="FFFFFF"/>
          <w:lang w:val="en-US" w:eastAsia="zh-CN"/>
        </w:rPr>
        <w:t>充实</w:t>
      </w:r>
      <w:r>
        <w:rPr>
          <w:rFonts w:hint="eastAsia" w:ascii="仿宋_GB2312" w:hAnsi="仿宋_GB2312" w:eastAsia="仿宋_GB2312" w:cs="仿宋_GB2312"/>
          <w:b w:val="0"/>
          <w:bCs/>
          <w:color w:val="000000"/>
          <w:sz w:val="32"/>
          <w:szCs w:val="32"/>
          <w:highlight w:val="none"/>
          <w:shd w:val="clear" w:color="auto" w:fill="FFFFFF"/>
          <w:lang w:eastAsia="zh-CN"/>
        </w:rPr>
        <w:t>绩效管理</w:t>
      </w:r>
      <w:r>
        <w:rPr>
          <w:rFonts w:hint="eastAsia" w:ascii="仿宋_GB2312" w:hAnsi="仿宋_GB2312" w:eastAsia="仿宋_GB2312" w:cs="仿宋_GB2312"/>
          <w:b w:val="0"/>
          <w:bCs/>
          <w:color w:val="000000"/>
          <w:sz w:val="32"/>
          <w:szCs w:val="32"/>
          <w:highlight w:val="none"/>
          <w:shd w:val="clear" w:color="auto" w:fill="FFFFFF"/>
          <w:lang w:val="en-US" w:eastAsia="zh-CN"/>
        </w:rPr>
        <w:t>人才队伍</w:t>
      </w:r>
      <w:r>
        <w:rPr>
          <w:rFonts w:hint="eastAsia" w:ascii="仿宋_GB2312" w:hAnsi="仿宋_GB2312" w:eastAsia="仿宋_GB2312" w:cs="仿宋_GB2312"/>
          <w:b w:val="0"/>
          <w:bCs/>
          <w:color w:val="000000"/>
          <w:sz w:val="32"/>
          <w:szCs w:val="32"/>
          <w:highlight w:val="none"/>
          <w:shd w:val="clear" w:color="auto" w:fill="FFFFFF"/>
          <w:lang w:eastAsia="zh-CN"/>
        </w:rPr>
        <w:t>，加强</w:t>
      </w:r>
      <w:r>
        <w:rPr>
          <w:rFonts w:hint="eastAsia" w:ascii="仿宋_GB2312" w:hAnsi="仿宋_GB2312" w:eastAsia="仿宋_GB2312" w:cs="仿宋_GB2312"/>
          <w:b w:val="0"/>
          <w:bCs/>
          <w:color w:val="000000"/>
          <w:sz w:val="32"/>
          <w:szCs w:val="32"/>
          <w:highlight w:val="none"/>
          <w:shd w:val="clear" w:color="auto" w:fill="FFFFFF"/>
          <w:lang w:val="en-US" w:eastAsia="zh-CN"/>
        </w:rPr>
        <w:t>业务培训，提升绩效管理人员综合素质</w:t>
      </w:r>
      <w:r>
        <w:rPr>
          <w:rFonts w:hint="eastAsia" w:ascii="Times New Roman" w:hAnsi="Times New Roman" w:eastAsia="仿宋_GB2312" w:cs="仿宋_GB2312"/>
          <w:color w:val="000000"/>
          <w:sz w:val="32"/>
          <w:szCs w:val="32"/>
          <w:highlight w:val="none"/>
          <w:shd w:val="clear" w:color="auto" w:fill="FFFFFF"/>
          <w:lang w:eastAsia="zh-CN"/>
        </w:rPr>
        <w:t>。</w:t>
      </w:r>
      <w:r>
        <w:rPr>
          <w:rFonts w:hint="eastAsia" w:ascii="仿宋_GB2312" w:hAnsi="仿宋_GB2312" w:eastAsia="仿宋_GB2312" w:cs="仿宋_GB2312"/>
          <w:b w:val="0"/>
          <w:bCs/>
          <w:color w:val="000000"/>
          <w:sz w:val="32"/>
          <w:szCs w:val="32"/>
          <w:highlight w:val="none"/>
          <w:shd w:val="clear" w:color="auto" w:fill="FFFFFF"/>
          <w:lang w:val="en-US" w:eastAsia="zh-CN"/>
        </w:rPr>
        <w:t>同时，加强部门间协作联动，做深做细预算绩效目标，增强预算约束力，</w:t>
      </w:r>
      <w:r>
        <w:rPr>
          <w:rFonts w:hint="eastAsia" w:ascii="仿宋_GB2312" w:hAnsi="仿宋_GB2312" w:eastAsia="仿宋_GB2312" w:cs="仿宋_GB2312"/>
          <w:b w:val="0"/>
          <w:bCs/>
          <w:color w:val="000000"/>
          <w:sz w:val="32"/>
          <w:szCs w:val="32"/>
          <w:highlight w:val="none"/>
          <w:shd w:val="clear" w:color="auto" w:fill="FFFFFF"/>
          <w:lang w:eastAsia="zh-CN"/>
        </w:rPr>
        <w:t>提</w:t>
      </w:r>
      <w:r>
        <w:rPr>
          <w:rFonts w:hint="eastAsia" w:ascii="仿宋_GB2312" w:hAnsi="仿宋_GB2312" w:eastAsia="仿宋_GB2312" w:cs="仿宋_GB2312"/>
          <w:b w:val="0"/>
          <w:bCs/>
          <w:color w:val="000000"/>
          <w:sz w:val="32"/>
          <w:szCs w:val="32"/>
          <w:highlight w:val="none"/>
          <w:shd w:val="clear" w:color="auto" w:fill="FFFFFF"/>
          <w:lang w:val="en-US" w:eastAsia="zh-CN"/>
        </w:rPr>
        <w:t>升</w:t>
      </w:r>
      <w:r>
        <w:rPr>
          <w:rFonts w:hint="eastAsia" w:ascii="仿宋_GB2312" w:hAnsi="仿宋_GB2312" w:eastAsia="仿宋_GB2312" w:cs="仿宋_GB2312"/>
          <w:b w:val="0"/>
          <w:bCs/>
          <w:color w:val="000000"/>
          <w:sz w:val="32"/>
          <w:szCs w:val="32"/>
          <w:highlight w:val="none"/>
          <w:shd w:val="clear" w:color="auto" w:fill="FFFFFF"/>
          <w:lang w:eastAsia="zh-CN"/>
        </w:rPr>
        <w:t>绩效管理</w:t>
      </w:r>
      <w:r>
        <w:rPr>
          <w:rFonts w:hint="eastAsia" w:ascii="仿宋_GB2312" w:hAnsi="仿宋_GB2312" w:eastAsia="仿宋_GB2312" w:cs="仿宋_GB2312"/>
          <w:b w:val="0"/>
          <w:bCs/>
          <w:color w:val="000000"/>
          <w:sz w:val="32"/>
          <w:szCs w:val="32"/>
          <w:highlight w:val="none"/>
          <w:shd w:val="clear" w:color="auto" w:fill="FFFFFF"/>
          <w:lang w:val="en-US" w:eastAsia="zh-CN"/>
        </w:rPr>
        <w:t>水</w:t>
      </w:r>
      <w:r>
        <w:rPr>
          <w:rFonts w:hint="eastAsia" w:ascii="仿宋_GB2312" w:hAnsi="仿宋_GB2312" w:eastAsia="仿宋_GB2312" w:cs="仿宋_GB2312"/>
          <w:b w:val="0"/>
          <w:bCs/>
          <w:color w:val="000000"/>
          <w:sz w:val="32"/>
          <w:szCs w:val="32"/>
          <w:highlight w:val="none"/>
          <w:shd w:val="clear" w:color="auto" w:fill="FFFFFF"/>
          <w:lang w:eastAsia="zh-CN"/>
        </w:rPr>
        <w:t>平。</w:t>
      </w:r>
    </w:p>
    <w:p w14:paraId="4C3145F0">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九、</w:t>
      </w:r>
      <w:r>
        <w:rPr>
          <w:rFonts w:hint="default" w:ascii="Times New Roman" w:hAnsi="Times New Roman" w:eastAsia="黑体" w:cs="Times New Roman"/>
          <w:sz w:val="32"/>
          <w:szCs w:val="32"/>
          <w:highlight w:val="none"/>
        </w:rPr>
        <w:t>部门整体支出绩效自评结果拟应用</w:t>
      </w:r>
      <w:r>
        <w:rPr>
          <w:rFonts w:hint="eastAsia" w:ascii="Times New Roman" w:hAnsi="Times New Roman" w:eastAsia="黑体" w:cs="Times New Roman"/>
          <w:sz w:val="32"/>
          <w:szCs w:val="32"/>
          <w:highlight w:val="none"/>
          <w:lang w:val="en-US" w:eastAsia="zh-CN"/>
        </w:rPr>
        <w:t>及</w:t>
      </w:r>
      <w:r>
        <w:rPr>
          <w:rFonts w:hint="default" w:ascii="Times New Roman" w:hAnsi="Times New Roman" w:eastAsia="黑体" w:cs="Times New Roman"/>
          <w:sz w:val="32"/>
          <w:szCs w:val="32"/>
          <w:highlight w:val="none"/>
        </w:rPr>
        <w:t>公开</w:t>
      </w:r>
      <w:r>
        <w:rPr>
          <w:rFonts w:hint="eastAsia" w:ascii="Times New Roman" w:hAnsi="Times New Roman" w:eastAsia="黑体" w:cs="Times New Roman"/>
          <w:sz w:val="32"/>
          <w:szCs w:val="32"/>
          <w:highlight w:val="none"/>
          <w:lang w:val="en-US" w:eastAsia="zh-CN"/>
        </w:rPr>
        <w:t>情况</w:t>
      </w:r>
    </w:p>
    <w:p w14:paraId="5C177728">
      <w:pPr>
        <w:pStyle w:val="3"/>
        <w:keepNext w:val="0"/>
        <w:keepLines w:val="0"/>
        <w:pageBreakBefore w:val="0"/>
        <w:wordWrap/>
        <w:overflowPunct/>
        <w:topLinePunct w:val="0"/>
        <w:bidi w:val="0"/>
        <w:spacing w:line="600" w:lineRule="exact"/>
        <w:ind w:left="0" w:leftChars="0" w:firstLine="640" w:firstLineChars="200"/>
        <w:jc w:val="left"/>
        <w:rPr>
          <w:rFonts w:hint="default"/>
          <w:sz w:val="32"/>
          <w:szCs w:val="32"/>
          <w:highlight w:val="none"/>
        </w:rPr>
      </w:pPr>
      <w:r>
        <w:rPr>
          <w:rFonts w:hint="eastAsia" w:ascii="仿宋_GB2312" w:hAnsi="仿宋_GB2312" w:eastAsia="仿宋_GB2312" w:cs="仿宋_GB2312"/>
          <w:b w:val="0"/>
          <w:bCs w:val="0"/>
          <w:sz w:val="32"/>
          <w:szCs w:val="32"/>
          <w:highlight w:val="none"/>
        </w:rPr>
        <w:t>部门整体支出绩效自评结果</w:t>
      </w:r>
      <w:r>
        <w:rPr>
          <w:rFonts w:hint="eastAsia" w:ascii="仿宋_GB2312" w:hAnsi="仿宋_GB2312" w:eastAsia="仿宋_GB2312" w:cs="仿宋_GB2312"/>
          <w:b w:val="0"/>
          <w:bCs w:val="0"/>
          <w:sz w:val="32"/>
          <w:szCs w:val="32"/>
          <w:highlight w:val="none"/>
          <w:lang w:val="en-US" w:eastAsia="zh-CN"/>
        </w:rPr>
        <w:t>将作为完善本单位相关制度，改进资金管理的重要依据，同时，也将作为单位内部工作总结的参考依据。本单位的预算绩效目标、预算、决算及绩效评价等信息均按相关规定及时在市城管局门户网站进行了公开，</w:t>
      </w:r>
      <w:r>
        <w:rPr>
          <w:rFonts w:hint="eastAsia" w:ascii="仿宋_GB2312" w:hAnsi="仿宋_GB2312" w:eastAsia="仿宋_GB2312" w:cs="仿宋_GB2312"/>
          <w:kern w:val="0"/>
          <w:sz w:val="32"/>
          <w:szCs w:val="32"/>
          <w:highlight w:val="none"/>
        </w:rPr>
        <w:t>公开信息基础数据和会计信息资料准确、真实、完整。</w:t>
      </w:r>
    </w:p>
    <w:p w14:paraId="58C24009">
      <w:pPr>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val="en-US" w:eastAsia="zh-CN"/>
        </w:rPr>
        <w:t>十、</w:t>
      </w:r>
      <w:r>
        <w:rPr>
          <w:rFonts w:hint="default" w:ascii="Times New Roman" w:hAnsi="Times New Roman" w:eastAsia="黑体" w:cs="Times New Roman"/>
          <w:sz w:val="32"/>
          <w:szCs w:val="32"/>
          <w:highlight w:val="none"/>
        </w:rPr>
        <w:t>其他需要说明的情况</w:t>
      </w:r>
    </w:p>
    <w:p w14:paraId="74052CBD">
      <w:pPr>
        <w:keepNext w:val="0"/>
        <w:keepLines w:val="0"/>
        <w:pageBreakBefore w:val="0"/>
        <w:widowControl/>
        <w:kinsoku w:val="0"/>
        <w:wordWrap/>
        <w:overflowPunct/>
        <w:topLinePunct w:val="0"/>
        <w:autoSpaceDE w:val="0"/>
        <w:autoSpaceDN w:val="0"/>
        <w:bidi w:val="0"/>
        <w:adjustRightInd w:val="0"/>
        <w:snapToGrid w:val="0"/>
        <w:spacing w:line="600" w:lineRule="exact"/>
        <w:ind w:left="23" w:firstLine="684" w:firstLineChars="200"/>
        <w:textAlignment w:val="baseline"/>
        <w:rPr>
          <w:rFonts w:hint="default" w:ascii="CESI仿宋-GB2312" w:hAnsi="CESI仿宋-GB2312" w:eastAsia="CESI仿宋-GB2312" w:cs="CESI仿宋-GB2312"/>
          <w:color w:val="auto"/>
          <w:sz w:val="22"/>
          <w:szCs w:val="22"/>
          <w:highlight w:val="none"/>
          <w:lang w:val="en-US" w:eastAsia="zh-CN"/>
        </w:rPr>
      </w:pPr>
      <w:r>
        <w:rPr>
          <w:rFonts w:hint="eastAsia" w:ascii="CESI仿宋-GB2312" w:hAnsi="CESI仿宋-GB2312" w:eastAsia="CESI仿宋-GB2312" w:cs="CESI仿宋-GB2312"/>
          <w:spacing w:val="11"/>
          <w:sz w:val="32"/>
          <w:szCs w:val="32"/>
          <w:highlight w:val="none"/>
          <w:lang w:val="en-US" w:eastAsia="zh-CN"/>
        </w:rPr>
        <w:t>2024年9月，城管执法机构改革，</w:t>
      </w:r>
      <w:r>
        <w:rPr>
          <w:rFonts w:hint="eastAsia" w:ascii="CESI仿宋-GB2312" w:hAnsi="CESI仿宋-GB2312" w:eastAsia="CESI仿宋-GB2312" w:cs="CESI仿宋-GB2312"/>
          <w:sz w:val="32"/>
          <w:szCs w:val="32"/>
          <w:highlight w:val="none"/>
          <w:lang w:val="en-US" w:eastAsia="zh-CN"/>
        </w:rPr>
        <w:t>岳阳楼一大队、岳阳楼二大队、岳阳楼三大队、岳阳楼四大队、云溪大队、君山大队6个大队并入我单位，工资、社保及部分退休人员经费在我单位核算，公用经费、工会经费等不列入绩效自评，项目经费由各区负担。</w:t>
      </w:r>
      <w:r>
        <w:rPr>
          <w:rFonts w:hint="eastAsia" w:ascii="CESI仿宋-GB2312" w:hAnsi="CESI仿宋-GB2312" w:eastAsia="CESI仿宋-GB2312" w:cs="CESI仿宋-GB2312"/>
          <w:spacing w:val="11"/>
          <w:sz w:val="32"/>
          <w:szCs w:val="32"/>
          <w:highlight w:val="none"/>
          <w:lang w:eastAsia="zh-CN"/>
        </w:rPr>
        <w:t>另外，</w:t>
      </w:r>
      <w:r>
        <w:rPr>
          <w:rFonts w:hint="eastAsia" w:ascii="CESI仿宋-GB2312" w:hAnsi="CESI仿宋-GB2312" w:eastAsia="CESI仿宋-GB2312" w:cs="CESI仿宋-GB2312"/>
          <w:spacing w:val="11"/>
          <w:sz w:val="32"/>
          <w:szCs w:val="32"/>
          <w:highlight w:val="none"/>
        </w:rPr>
        <w:t>站场大队</w:t>
      </w:r>
      <w:r>
        <w:rPr>
          <w:rFonts w:hint="eastAsia" w:ascii="CESI仿宋-GB2312" w:hAnsi="CESI仿宋-GB2312" w:eastAsia="CESI仿宋-GB2312" w:cs="CESI仿宋-GB2312"/>
          <w:spacing w:val="11"/>
          <w:sz w:val="32"/>
          <w:szCs w:val="32"/>
          <w:highlight w:val="none"/>
          <w:lang w:eastAsia="zh-CN"/>
        </w:rPr>
        <w:t>为独立预算单位</w:t>
      </w:r>
      <w:r>
        <w:rPr>
          <w:rFonts w:hint="eastAsia" w:ascii="CESI仿宋-GB2312" w:hAnsi="CESI仿宋-GB2312" w:eastAsia="CESI仿宋-GB2312" w:cs="CESI仿宋-GB2312"/>
          <w:spacing w:val="11"/>
          <w:sz w:val="32"/>
          <w:szCs w:val="32"/>
          <w:highlight w:val="none"/>
        </w:rPr>
        <w:t>，</w:t>
      </w:r>
      <w:r>
        <w:rPr>
          <w:rFonts w:hint="eastAsia" w:ascii="CESI仿宋-GB2312" w:hAnsi="CESI仿宋-GB2312" w:eastAsia="CESI仿宋-GB2312" w:cs="CESI仿宋-GB2312"/>
          <w:spacing w:val="11"/>
          <w:sz w:val="32"/>
          <w:szCs w:val="32"/>
          <w:highlight w:val="none"/>
          <w:lang w:eastAsia="zh-CN"/>
        </w:rPr>
        <w:t>相关预算支出也未纳入本次绩效评价范围</w:t>
      </w:r>
      <w:r>
        <w:rPr>
          <w:rFonts w:hint="eastAsia" w:ascii="CESI仿宋-GB2312" w:hAnsi="CESI仿宋-GB2312" w:eastAsia="CESI仿宋-GB2312" w:cs="CESI仿宋-GB2312"/>
          <w:spacing w:val="11"/>
          <w:sz w:val="32"/>
          <w:szCs w:val="32"/>
          <w:highlight w:val="none"/>
        </w:rPr>
        <w:t>。</w:t>
      </w:r>
      <w:r>
        <w:rPr>
          <w:rFonts w:hint="eastAsia" w:ascii="仿宋_GB2312" w:hAnsi="仿宋_GB2312" w:eastAsia="仿宋_GB2312" w:cs="仿宋_GB2312"/>
          <w:sz w:val="32"/>
          <w:szCs w:val="32"/>
          <w:highlight w:val="none"/>
          <w:u w:val="none"/>
        </w:rPr>
        <w:br w:type="textWrapping"/>
      </w:r>
    </w:p>
    <w:sectPr>
      <w:footerReference r:id="rId3" w:type="default"/>
      <w:pgSz w:w="11906" w:h="16838"/>
      <w:pgMar w:top="1440" w:right="1689" w:bottom="1440" w:left="17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BE25B2F9">
    <w:panose1 w:val="0201060103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 w:name="KSOF5570FC2F">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CE47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B8BC97">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B8BC97">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70A2BD"/>
    <w:multiLevelType w:val="singleLevel"/>
    <w:tmpl w:val="9E70A2BD"/>
    <w:lvl w:ilvl="0" w:tentative="0">
      <w:start w:val="2"/>
      <w:numFmt w:val="chineseCounting"/>
      <w:suff w:val="nothing"/>
      <w:lvlText w:val="（%1）"/>
      <w:lvlJc w:val="left"/>
      <w:rPr>
        <w:rFonts w:hint="eastAsia"/>
      </w:rPr>
    </w:lvl>
  </w:abstractNum>
  <w:abstractNum w:abstractNumId="1">
    <w:nsid w:val="DFE6DB29"/>
    <w:multiLevelType w:val="singleLevel"/>
    <w:tmpl w:val="DFE6DB29"/>
    <w:lvl w:ilvl="0" w:tentative="0">
      <w:start w:val="1"/>
      <w:numFmt w:val="chineseCounting"/>
      <w:suff w:val="nothing"/>
      <w:lvlText w:val="%1、"/>
      <w:lvlJc w:val="left"/>
      <w:rPr>
        <w:rFonts w:hint="eastAsia"/>
      </w:rPr>
    </w:lvl>
  </w:abstractNum>
  <w:abstractNum w:abstractNumId="2">
    <w:nsid w:val="4E0980DE"/>
    <w:multiLevelType w:val="singleLevel"/>
    <w:tmpl w:val="4E0980DE"/>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xM2I1Y2E5MTg1NzJhN2FkNjlmNDg5OTI5OGY3ZTQifQ=="/>
  </w:docVars>
  <w:rsids>
    <w:rsidRoot w:val="59886344"/>
    <w:rsid w:val="0022181C"/>
    <w:rsid w:val="002D5409"/>
    <w:rsid w:val="004A5BD4"/>
    <w:rsid w:val="0058523E"/>
    <w:rsid w:val="00AE30B0"/>
    <w:rsid w:val="00C61417"/>
    <w:rsid w:val="00CB3C62"/>
    <w:rsid w:val="00E67015"/>
    <w:rsid w:val="01074535"/>
    <w:rsid w:val="011E1FE4"/>
    <w:rsid w:val="015B3238"/>
    <w:rsid w:val="01A249C3"/>
    <w:rsid w:val="01A544B3"/>
    <w:rsid w:val="01A87AFF"/>
    <w:rsid w:val="01E925F2"/>
    <w:rsid w:val="01EF7F5D"/>
    <w:rsid w:val="0216715F"/>
    <w:rsid w:val="02353A89"/>
    <w:rsid w:val="02815105"/>
    <w:rsid w:val="02873BB9"/>
    <w:rsid w:val="029A4586"/>
    <w:rsid w:val="02AD361F"/>
    <w:rsid w:val="02D37AB4"/>
    <w:rsid w:val="03011BBD"/>
    <w:rsid w:val="03323E9D"/>
    <w:rsid w:val="03457CFC"/>
    <w:rsid w:val="034A7BB7"/>
    <w:rsid w:val="03BFA85F"/>
    <w:rsid w:val="03D177E1"/>
    <w:rsid w:val="03D80B70"/>
    <w:rsid w:val="03F57086"/>
    <w:rsid w:val="03FD4132"/>
    <w:rsid w:val="04021749"/>
    <w:rsid w:val="04382BB8"/>
    <w:rsid w:val="045C68B2"/>
    <w:rsid w:val="045F760C"/>
    <w:rsid w:val="0466617C"/>
    <w:rsid w:val="046B3792"/>
    <w:rsid w:val="048D195A"/>
    <w:rsid w:val="054E09BE"/>
    <w:rsid w:val="054F118C"/>
    <w:rsid w:val="05AA653C"/>
    <w:rsid w:val="06307387"/>
    <w:rsid w:val="0648365F"/>
    <w:rsid w:val="06620BC5"/>
    <w:rsid w:val="06712BB6"/>
    <w:rsid w:val="06882A8B"/>
    <w:rsid w:val="068B1EC9"/>
    <w:rsid w:val="06D51397"/>
    <w:rsid w:val="06F2019A"/>
    <w:rsid w:val="06F74635"/>
    <w:rsid w:val="06FF1994"/>
    <w:rsid w:val="07BD6329"/>
    <w:rsid w:val="07E51AAD"/>
    <w:rsid w:val="08265067"/>
    <w:rsid w:val="082A3964"/>
    <w:rsid w:val="083117D0"/>
    <w:rsid w:val="0865674A"/>
    <w:rsid w:val="086F4203"/>
    <w:rsid w:val="08BF22FE"/>
    <w:rsid w:val="08C14A26"/>
    <w:rsid w:val="08CD7283"/>
    <w:rsid w:val="09102B5A"/>
    <w:rsid w:val="093F0D49"/>
    <w:rsid w:val="094445B2"/>
    <w:rsid w:val="0958005D"/>
    <w:rsid w:val="09905E52"/>
    <w:rsid w:val="09CB4CD3"/>
    <w:rsid w:val="0A275119"/>
    <w:rsid w:val="0A310FDA"/>
    <w:rsid w:val="0A5F3EC8"/>
    <w:rsid w:val="0A612C71"/>
    <w:rsid w:val="0A636CB9"/>
    <w:rsid w:val="0AB13EC9"/>
    <w:rsid w:val="0AE20526"/>
    <w:rsid w:val="0AEF63D4"/>
    <w:rsid w:val="0AF13604"/>
    <w:rsid w:val="0B7712B9"/>
    <w:rsid w:val="0B923CFA"/>
    <w:rsid w:val="0B980BE5"/>
    <w:rsid w:val="0BB8F8C0"/>
    <w:rsid w:val="0BBA2AA7"/>
    <w:rsid w:val="0BD47E6F"/>
    <w:rsid w:val="0BD953F2"/>
    <w:rsid w:val="0C27489D"/>
    <w:rsid w:val="0C965124"/>
    <w:rsid w:val="0D1321C5"/>
    <w:rsid w:val="0D466B4A"/>
    <w:rsid w:val="0D645222"/>
    <w:rsid w:val="0D70006B"/>
    <w:rsid w:val="0D8670CB"/>
    <w:rsid w:val="0DB066B9"/>
    <w:rsid w:val="0DFF034E"/>
    <w:rsid w:val="0E213113"/>
    <w:rsid w:val="0E707BF7"/>
    <w:rsid w:val="0E74594B"/>
    <w:rsid w:val="0E781C2B"/>
    <w:rsid w:val="0E7E40C2"/>
    <w:rsid w:val="0E8F2773"/>
    <w:rsid w:val="0EA36836"/>
    <w:rsid w:val="0EA63619"/>
    <w:rsid w:val="0EB6471F"/>
    <w:rsid w:val="0EC306AE"/>
    <w:rsid w:val="0EFCB9EC"/>
    <w:rsid w:val="0F000F7B"/>
    <w:rsid w:val="0F1B7B63"/>
    <w:rsid w:val="0F5512C6"/>
    <w:rsid w:val="0F6E4A1A"/>
    <w:rsid w:val="0F740B87"/>
    <w:rsid w:val="104135F9"/>
    <w:rsid w:val="105477D0"/>
    <w:rsid w:val="10962C7F"/>
    <w:rsid w:val="11586E4C"/>
    <w:rsid w:val="115F467E"/>
    <w:rsid w:val="117FE145"/>
    <w:rsid w:val="11A7392F"/>
    <w:rsid w:val="11AC53EA"/>
    <w:rsid w:val="11C6025A"/>
    <w:rsid w:val="11C75D80"/>
    <w:rsid w:val="11CD2D19"/>
    <w:rsid w:val="11D24E50"/>
    <w:rsid w:val="11EB4164"/>
    <w:rsid w:val="11F12C8D"/>
    <w:rsid w:val="1246139A"/>
    <w:rsid w:val="12526E75"/>
    <w:rsid w:val="12555A81"/>
    <w:rsid w:val="12C10A21"/>
    <w:rsid w:val="12CD5618"/>
    <w:rsid w:val="12D87820"/>
    <w:rsid w:val="12D90460"/>
    <w:rsid w:val="13453400"/>
    <w:rsid w:val="13573157"/>
    <w:rsid w:val="136F66CF"/>
    <w:rsid w:val="13C95DDF"/>
    <w:rsid w:val="13E72709"/>
    <w:rsid w:val="13EA7908"/>
    <w:rsid w:val="13EE9041"/>
    <w:rsid w:val="13FC62BD"/>
    <w:rsid w:val="13FE054C"/>
    <w:rsid w:val="142676D5"/>
    <w:rsid w:val="14661880"/>
    <w:rsid w:val="149819C7"/>
    <w:rsid w:val="14A423A8"/>
    <w:rsid w:val="14BE8615"/>
    <w:rsid w:val="151237B6"/>
    <w:rsid w:val="15695ACC"/>
    <w:rsid w:val="157F52EF"/>
    <w:rsid w:val="159927CF"/>
    <w:rsid w:val="15BF393E"/>
    <w:rsid w:val="15C471A6"/>
    <w:rsid w:val="15EC3507"/>
    <w:rsid w:val="15F35395"/>
    <w:rsid w:val="16976668"/>
    <w:rsid w:val="16A4024D"/>
    <w:rsid w:val="16D851DB"/>
    <w:rsid w:val="16E178E4"/>
    <w:rsid w:val="17233A58"/>
    <w:rsid w:val="17300EC8"/>
    <w:rsid w:val="17AC6144"/>
    <w:rsid w:val="18041ADC"/>
    <w:rsid w:val="18495740"/>
    <w:rsid w:val="18736C61"/>
    <w:rsid w:val="188B1885"/>
    <w:rsid w:val="189440AA"/>
    <w:rsid w:val="18A35434"/>
    <w:rsid w:val="18BF5A03"/>
    <w:rsid w:val="18E01B22"/>
    <w:rsid w:val="191044B0"/>
    <w:rsid w:val="19390A50"/>
    <w:rsid w:val="19CA28B1"/>
    <w:rsid w:val="19CC0A45"/>
    <w:rsid w:val="19FA13E8"/>
    <w:rsid w:val="1A136006"/>
    <w:rsid w:val="1A372AF8"/>
    <w:rsid w:val="1AB05F4B"/>
    <w:rsid w:val="1ABF1EEF"/>
    <w:rsid w:val="1AC92B69"/>
    <w:rsid w:val="1B140288"/>
    <w:rsid w:val="1B572F6A"/>
    <w:rsid w:val="1B822020"/>
    <w:rsid w:val="1B972C67"/>
    <w:rsid w:val="1BA2328C"/>
    <w:rsid w:val="1BAB226E"/>
    <w:rsid w:val="1BD712B5"/>
    <w:rsid w:val="1CA034BD"/>
    <w:rsid w:val="1CB75B90"/>
    <w:rsid w:val="1CCC06EE"/>
    <w:rsid w:val="1CDF6673"/>
    <w:rsid w:val="1CEC0554"/>
    <w:rsid w:val="1DEF0A82"/>
    <w:rsid w:val="1DF3F496"/>
    <w:rsid w:val="1E0A7720"/>
    <w:rsid w:val="1E0C06B5"/>
    <w:rsid w:val="1E206F43"/>
    <w:rsid w:val="1E2C3B3A"/>
    <w:rsid w:val="1E7B23CC"/>
    <w:rsid w:val="1E870D71"/>
    <w:rsid w:val="1EBF4107"/>
    <w:rsid w:val="1F130FEC"/>
    <w:rsid w:val="1F443106"/>
    <w:rsid w:val="1F4629DA"/>
    <w:rsid w:val="1F6D440A"/>
    <w:rsid w:val="1F77E370"/>
    <w:rsid w:val="1F952318"/>
    <w:rsid w:val="1FBA9B92"/>
    <w:rsid w:val="1FD70494"/>
    <w:rsid w:val="1FE52BA5"/>
    <w:rsid w:val="1FF31C5E"/>
    <w:rsid w:val="1FF747A1"/>
    <w:rsid w:val="1FFF5A26"/>
    <w:rsid w:val="204B21AD"/>
    <w:rsid w:val="20896F92"/>
    <w:rsid w:val="209E05F3"/>
    <w:rsid w:val="20E06E5E"/>
    <w:rsid w:val="20E56222"/>
    <w:rsid w:val="20EA55E7"/>
    <w:rsid w:val="20FB6EDC"/>
    <w:rsid w:val="212F0D11"/>
    <w:rsid w:val="219A0DBB"/>
    <w:rsid w:val="21E40288"/>
    <w:rsid w:val="21F20913"/>
    <w:rsid w:val="21F36947"/>
    <w:rsid w:val="22433200"/>
    <w:rsid w:val="22794E74"/>
    <w:rsid w:val="22943A5C"/>
    <w:rsid w:val="22FF35CB"/>
    <w:rsid w:val="23447230"/>
    <w:rsid w:val="23502079"/>
    <w:rsid w:val="235F050E"/>
    <w:rsid w:val="237C10C0"/>
    <w:rsid w:val="23E26A49"/>
    <w:rsid w:val="23FF52CD"/>
    <w:rsid w:val="241E204C"/>
    <w:rsid w:val="245A2A83"/>
    <w:rsid w:val="248F4E23"/>
    <w:rsid w:val="24CD5299"/>
    <w:rsid w:val="24D942F0"/>
    <w:rsid w:val="251315B0"/>
    <w:rsid w:val="251D5F8B"/>
    <w:rsid w:val="253B28B5"/>
    <w:rsid w:val="255816B9"/>
    <w:rsid w:val="257F27A2"/>
    <w:rsid w:val="25A55F80"/>
    <w:rsid w:val="26501B72"/>
    <w:rsid w:val="2652435A"/>
    <w:rsid w:val="265445F5"/>
    <w:rsid w:val="2661634B"/>
    <w:rsid w:val="26834513"/>
    <w:rsid w:val="270311B0"/>
    <w:rsid w:val="27743855"/>
    <w:rsid w:val="27B03AAF"/>
    <w:rsid w:val="27D51B77"/>
    <w:rsid w:val="27F51DAF"/>
    <w:rsid w:val="28837CAE"/>
    <w:rsid w:val="28A01DEF"/>
    <w:rsid w:val="28AB55D0"/>
    <w:rsid w:val="29023E15"/>
    <w:rsid w:val="29263F95"/>
    <w:rsid w:val="295B52D4"/>
    <w:rsid w:val="297B2758"/>
    <w:rsid w:val="29890093"/>
    <w:rsid w:val="29D5103E"/>
    <w:rsid w:val="29D92EC8"/>
    <w:rsid w:val="29F83A08"/>
    <w:rsid w:val="2A0B4F4C"/>
    <w:rsid w:val="2AB0456A"/>
    <w:rsid w:val="2ADA66CC"/>
    <w:rsid w:val="2AEB2687"/>
    <w:rsid w:val="2AFC6642"/>
    <w:rsid w:val="2B483F8A"/>
    <w:rsid w:val="2B4A0842"/>
    <w:rsid w:val="2B4E4339"/>
    <w:rsid w:val="2B642D2C"/>
    <w:rsid w:val="2B726905"/>
    <w:rsid w:val="2BECECBA"/>
    <w:rsid w:val="2BFC0FF0"/>
    <w:rsid w:val="2C02237E"/>
    <w:rsid w:val="2C792640"/>
    <w:rsid w:val="2C8455B0"/>
    <w:rsid w:val="2D285E15"/>
    <w:rsid w:val="2D574004"/>
    <w:rsid w:val="2D8A03D1"/>
    <w:rsid w:val="2DDD413C"/>
    <w:rsid w:val="2DE21C73"/>
    <w:rsid w:val="2DF06932"/>
    <w:rsid w:val="2DFB57C0"/>
    <w:rsid w:val="2E5D389C"/>
    <w:rsid w:val="2E826544"/>
    <w:rsid w:val="2EEB534C"/>
    <w:rsid w:val="2F063D67"/>
    <w:rsid w:val="2F0D56B4"/>
    <w:rsid w:val="2F5C3B54"/>
    <w:rsid w:val="2F750E72"/>
    <w:rsid w:val="2F892CAE"/>
    <w:rsid w:val="2F94627D"/>
    <w:rsid w:val="2F96A5E1"/>
    <w:rsid w:val="2FB15C4D"/>
    <w:rsid w:val="2FBF750B"/>
    <w:rsid w:val="2FC242FE"/>
    <w:rsid w:val="2FCF4325"/>
    <w:rsid w:val="2FD71676"/>
    <w:rsid w:val="2FDADF2F"/>
    <w:rsid w:val="2FEDE1A0"/>
    <w:rsid w:val="2FFB1E61"/>
    <w:rsid w:val="30676C54"/>
    <w:rsid w:val="306D082C"/>
    <w:rsid w:val="3082583C"/>
    <w:rsid w:val="30F73B34"/>
    <w:rsid w:val="3179279B"/>
    <w:rsid w:val="317C04DD"/>
    <w:rsid w:val="317D021D"/>
    <w:rsid w:val="3187043E"/>
    <w:rsid w:val="318C4BC4"/>
    <w:rsid w:val="31B45EC9"/>
    <w:rsid w:val="31D43E75"/>
    <w:rsid w:val="31D9FBD3"/>
    <w:rsid w:val="320A7897"/>
    <w:rsid w:val="32236BAB"/>
    <w:rsid w:val="327411B4"/>
    <w:rsid w:val="327C22D2"/>
    <w:rsid w:val="32A73338"/>
    <w:rsid w:val="32A777DC"/>
    <w:rsid w:val="32D01232"/>
    <w:rsid w:val="33082BEB"/>
    <w:rsid w:val="3328091C"/>
    <w:rsid w:val="339B5C84"/>
    <w:rsid w:val="33AB32FB"/>
    <w:rsid w:val="33DF6B01"/>
    <w:rsid w:val="33E12879"/>
    <w:rsid w:val="33EF31E8"/>
    <w:rsid w:val="34056568"/>
    <w:rsid w:val="340622E0"/>
    <w:rsid w:val="34192013"/>
    <w:rsid w:val="343F6B5B"/>
    <w:rsid w:val="344277BC"/>
    <w:rsid w:val="346314E0"/>
    <w:rsid w:val="34A00986"/>
    <w:rsid w:val="34A264AC"/>
    <w:rsid w:val="34F69C36"/>
    <w:rsid w:val="35076310"/>
    <w:rsid w:val="350A76CF"/>
    <w:rsid w:val="350B6915"/>
    <w:rsid w:val="3511718E"/>
    <w:rsid w:val="35BB6AA8"/>
    <w:rsid w:val="35DD007A"/>
    <w:rsid w:val="35FA5E74"/>
    <w:rsid w:val="362058DB"/>
    <w:rsid w:val="364A6F3B"/>
    <w:rsid w:val="3667350A"/>
    <w:rsid w:val="36713175"/>
    <w:rsid w:val="369624CB"/>
    <w:rsid w:val="36BF51C2"/>
    <w:rsid w:val="36E0150E"/>
    <w:rsid w:val="36F9657C"/>
    <w:rsid w:val="37134B6B"/>
    <w:rsid w:val="371716E9"/>
    <w:rsid w:val="371F2036"/>
    <w:rsid w:val="374B6987"/>
    <w:rsid w:val="37641E5F"/>
    <w:rsid w:val="37677C4F"/>
    <w:rsid w:val="376D902E"/>
    <w:rsid w:val="3777022F"/>
    <w:rsid w:val="3790083E"/>
    <w:rsid w:val="37BEBC27"/>
    <w:rsid w:val="37FBBE63"/>
    <w:rsid w:val="37FD64D4"/>
    <w:rsid w:val="37FEADE1"/>
    <w:rsid w:val="37FF3851"/>
    <w:rsid w:val="380F08D0"/>
    <w:rsid w:val="38170F5F"/>
    <w:rsid w:val="382A0C93"/>
    <w:rsid w:val="382A2A41"/>
    <w:rsid w:val="384C5DD8"/>
    <w:rsid w:val="38521C1B"/>
    <w:rsid w:val="38AD086D"/>
    <w:rsid w:val="38F2730A"/>
    <w:rsid w:val="391536F1"/>
    <w:rsid w:val="393D67A4"/>
    <w:rsid w:val="395064D7"/>
    <w:rsid w:val="395FA4EF"/>
    <w:rsid w:val="39A131D7"/>
    <w:rsid w:val="39EE7A9E"/>
    <w:rsid w:val="3A59760D"/>
    <w:rsid w:val="3A992100"/>
    <w:rsid w:val="3AA60379"/>
    <w:rsid w:val="3ABF6FC2"/>
    <w:rsid w:val="3AD6C66A"/>
    <w:rsid w:val="3B1B0D67"/>
    <w:rsid w:val="3B2023A2"/>
    <w:rsid w:val="3B4A33FA"/>
    <w:rsid w:val="3B7743A2"/>
    <w:rsid w:val="3B801056"/>
    <w:rsid w:val="3BAE5737"/>
    <w:rsid w:val="3BB07701"/>
    <w:rsid w:val="3BD03356"/>
    <w:rsid w:val="3BD97102"/>
    <w:rsid w:val="3BF375EE"/>
    <w:rsid w:val="3BF47D47"/>
    <w:rsid w:val="3C460065"/>
    <w:rsid w:val="3CBE05CE"/>
    <w:rsid w:val="3CE358B4"/>
    <w:rsid w:val="3CF25AF7"/>
    <w:rsid w:val="3CF655E7"/>
    <w:rsid w:val="3D0808D3"/>
    <w:rsid w:val="3D145A6E"/>
    <w:rsid w:val="3D3D6D72"/>
    <w:rsid w:val="3D672041"/>
    <w:rsid w:val="3D7B3F30"/>
    <w:rsid w:val="3DA43295"/>
    <w:rsid w:val="3DB37034"/>
    <w:rsid w:val="3DBD6105"/>
    <w:rsid w:val="3DD46A33"/>
    <w:rsid w:val="3DFF9F94"/>
    <w:rsid w:val="3E5B754D"/>
    <w:rsid w:val="3E5E1696"/>
    <w:rsid w:val="3E7E3330"/>
    <w:rsid w:val="3E7E6D7A"/>
    <w:rsid w:val="3EA846BF"/>
    <w:rsid w:val="3EBF10E0"/>
    <w:rsid w:val="3ED44393"/>
    <w:rsid w:val="3EDDF4C5"/>
    <w:rsid w:val="3EED3B98"/>
    <w:rsid w:val="3F2010B0"/>
    <w:rsid w:val="3F3562AE"/>
    <w:rsid w:val="3F372F35"/>
    <w:rsid w:val="3F397A0D"/>
    <w:rsid w:val="3F446ADE"/>
    <w:rsid w:val="3F4751FC"/>
    <w:rsid w:val="3F57AD82"/>
    <w:rsid w:val="3F7738F7"/>
    <w:rsid w:val="3F7BCBD8"/>
    <w:rsid w:val="3F936526"/>
    <w:rsid w:val="3F9EE932"/>
    <w:rsid w:val="3F9F1F66"/>
    <w:rsid w:val="3FA9BBD9"/>
    <w:rsid w:val="3FB4A0DB"/>
    <w:rsid w:val="3FC96CBF"/>
    <w:rsid w:val="3FDA16F8"/>
    <w:rsid w:val="3FDA8BAB"/>
    <w:rsid w:val="3FED4ECB"/>
    <w:rsid w:val="3FF1653A"/>
    <w:rsid w:val="3FF23C6A"/>
    <w:rsid w:val="3FFB42D9"/>
    <w:rsid w:val="3FFB81A4"/>
    <w:rsid w:val="3FFCA43E"/>
    <w:rsid w:val="3FFE7623"/>
    <w:rsid w:val="3FFEE9B1"/>
    <w:rsid w:val="3FFF0EEF"/>
    <w:rsid w:val="40051BF8"/>
    <w:rsid w:val="402E6E46"/>
    <w:rsid w:val="40626F0E"/>
    <w:rsid w:val="406867FC"/>
    <w:rsid w:val="40A67324"/>
    <w:rsid w:val="40BC26A4"/>
    <w:rsid w:val="40E55E64"/>
    <w:rsid w:val="415154E2"/>
    <w:rsid w:val="417B32CA"/>
    <w:rsid w:val="41827BD7"/>
    <w:rsid w:val="41DB2FFE"/>
    <w:rsid w:val="41F67E38"/>
    <w:rsid w:val="42042555"/>
    <w:rsid w:val="42482B23"/>
    <w:rsid w:val="426E3E72"/>
    <w:rsid w:val="42B50F67"/>
    <w:rsid w:val="42D5199B"/>
    <w:rsid w:val="42EF6D61"/>
    <w:rsid w:val="43273CF3"/>
    <w:rsid w:val="43282273"/>
    <w:rsid w:val="43860D47"/>
    <w:rsid w:val="43CF26EE"/>
    <w:rsid w:val="44200200"/>
    <w:rsid w:val="443133A9"/>
    <w:rsid w:val="44416C20"/>
    <w:rsid w:val="44C85ABB"/>
    <w:rsid w:val="44D53D34"/>
    <w:rsid w:val="44F30166"/>
    <w:rsid w:val="45B24076"/>
    <w:rsid w:val="45DC29D3"/>
    <w:rsid w:val="45E5269D"/>
    <w:rsid w:val="461B60BF"/>
    <w:rsid w:val="46431172"/>
    <w:rsid w:val="465869CB"/>
    <w:rsid w:val="46671304"/>
    <w:rsid w:val="46D52711"/>
    <w:rsid w:val="46F078F8"/>
    <w:rsid w:val="46F73C57"/>
    <w:rsid w:val="472114B3"/>
    <w:rsid w:val="47339889"/>
    <w:rsid w:val="473E02B7"/>
    <w:rsid w:val="474D22A8"/>
    <w:rsid w:val="47595427"/>
    <w:rsid w:val="476B4E24"/>
    <w:rsid w:val="477261B2"/>
    <w:rsid w:val="47746FF5"/>
    <w:rsid w:val="47E349BA"/>
    <w:rsid w:val="47FF95BD"/>
    <w:rsid w:val="47FFE835"/>
    <w:rsid w:val="48217291"/>
    <w:rsid w:val="48233009"/>
    <w:rsid w:val="482F19AD"/>
    <w:rsid w:val="484C07B1"/>
    <w:rsid w:val="485B27A2"/>
    <w:rsid w:val="48724017"/>
    <w:rsid w:val="488F68F0"/>
    <w:rsid w:val="48D80297"/>
    <w:rsid w:val="48E00E71"/>
    <w:rsid w:val="48E34432"/>
    <w:rsid w:val="4957740E"/>
    <w:rsid w:val="499D2CBB"/>
    <w:rsid w:val="49DC759C"/>
    <w:rsid w:val="4B2B6DA4"/>
    <w:rsid w:val="4BB07CCC"/>
    <w:rsid w:val="4BD27220"/>
    <w:rsid w:val="4BD8314F"/>
    <w:rsid w:val="4C417F01"/>
    <w:rsid w:val="4C5E6D05"/>
    <w:rsid w:val="4C854292"/>
    <w:rsid w:val="4C940979"/>
    <w:rsid w:val="4CB95B17"/>
    <w:rsid w:val="4CCD096F"/>
    <w:rsid w:val="4CEA0599"/>
    <w:rsid w:val="4CF37D51"/>
    <w:rsid w:val="4D2F0C73"/>
    <w:rsid w:val="4D573E80"/>
    <w:rsid w:val="4D98CFB4"/>
    <w:rsid w:val="4DFFFE2D"/>
    <w:rsid w:val="4E544B3D"/>
    <w:rsid w:val="4E6B144B"/>
    <w:rsid w:val="4EE72FE2"/>
    <w:rsid w:val="4EFFAD45"/>
    <w:rsid w:val="4F011818"/>
    <w:rsid w:val="4F380BC9"/>
    <w:rsid w:val="4F455F5A"/>
    <w:rsid w:val="4F5A7C58"/>
    <w:rsid w:val="4F6B337B"/>
    <w:rsid w:val="4F6E7EB1"/>
    <w:rsid w:val="4F8C3B89"/>
    <w:rsid w:val="4F9F7B2E"/>
    <w:rsid w:val="4FBD4A7C"/>
    <w:rsid w:val="4FBFFD98"/>
    <w:rsid w:val="4FC60E49"/>
    <w:rsid w:val="4FCD667C"/>
    <w:rsid w:val="4FD11893"/>
    <w:rsid w:val="4FD7D642"/>
    <w:rsid w:val="4FDFD617"/>
    <w:rsid w:val="4FDFFCB7"/>
    <w:rsid w:val="4FE614EB"/>
    <w:rsid w:val="4FF77255"/>
    <w:rsid w:val="4FFA6D45"/>
    <w:rsid w:val="501C4F0D"/>
    <w:rsid w:val="501E0C85"/>
    <w:rsid w:val="501F67AB"/>
    <w:rsid w:val="507E34D2"/>
    <w:rsid w:val="50BBB3CB"/>
    <w:rsid w:val="50C4220B"/>
    <w:rsid w:val="50D1080A"/>
    <w:rsid w:val="51107F44"/>
    <w:rsid w:val="511F2F07"/>
    <w:rsid w:val="512C4327"/>
    <w:rsid w:val="51832EA6"/>
    <w:rsid w:val="51D27F79"/>
    <w:rsid w:val="520E4D2A"/>
    <w:rsid w:val="523033E4"/>
    <w:rsid w:val="52522E68"/>
    <w:rsid w:val="525941F7"/>
    <w:rsid w:val="52614E59"/>
    <w:rsid w:val="5268443A"/>
    <w:rsid w:val="52701540"/>
    <w:rsid w:val="52CA25D7"/>
    <w:rsid w:val="52FF127B"/>
    <w:rsid w:val="535E56F6"/>
    <w:rsid w:val="536015B5"/>
    <w:rsid w:val="537255B7"/>
    <w:rsid w:val="538C05FC"/>
    <w:rsid w:val="539769D7"/>
    <w:rsid w:val="53DFCB29"/>
    <w:rsid w:val="53FF7967"/>
    <w:rsid w:val="54273E81"/>
    <w:rsid w:val="54352A41"/>
    <w:rsid w:val="543640C4"/>
    <w:rsid w:val="544B7B6F"/>
    <w:rsid w:val="547635AA"/>
    <w:rsid w:val="548117E3"/>
    <w:rsid w:val="54B27BEE"/>
    <w:rsid w:val="54C17E31"/>
    <w:rsid w:val="54C2380D"/>
    <w:rsid w:val="54EB4EAE"/>
    <w:rsid w:val="5522723D"/>
    <w:rsid w:val="555A7AD1"/>
    <w:rsid w:val="557425B0"/>
    <w:rsid w:val="55A8275D"/>
    <w:rsid w:val="55C061A9"/>
    <w:rsid w:val="55D707AE"/>
    <w:rsid w:val="55E95892"/>
    <w:rsid w:val="55EA1BDE"/>
    <w:rsid w:val="55F5FC3D"/>
    <w:rsid w:val="5609092B"/>
    <w:rsid w:val="561548D9"/>
    <w:rsid w:val="567D422C"/>
    <w:rsid w:val="56DF0A43"/>
    <w:rsid w:val="56FB1779"/>
    <w:rsid w:val="578C0BCA"/>
    <w:rsid w:val="579161E1"/>
    <w:rsid w:val="57AC6B77"/>
    <w:rsid w:val="57B27F05"/>
    <w:rsid w:val="57BE6552"/>
    <w:rsid w:val="57EE5291"/>
    <w:rsid w:val="57FE5AAB"/>
    <w:rsid w:val="57FFC48F"/>
    <w:rsid w:val="581B1F4E"/>
    <w:rsid w:val="584414A5"/>
    <w:rsid w:val="587A4EC7"/>
    <w:rsid w:val="58B25E24"/>
    <w:rsid w:val="58C12DA3"/>
    <w:rsid w:val="58ED7447"/>
    <w:rsid w:val="58FF468A"/>
    <w:rsid w:val="59232E69"/>
    <w:rsid w:val="59282B75"/>
    <w:rsid w:val="593B2DCB"/>
    <w:rsid w:val="593E5EF4"/>
    <w:rsid w:val="59413C36"/>
    <w:rsid w:val="5954396A"/>
    <w:rsid w:val="59885EDD"/>
    <w:rsid w:val="59886344"/>
    <w:rsid w:val="59900C4D"/>
    <w:rsid w:val="59E44CEE"/>
    <w:rsid w:val="59E70BF0"/>
    <w:rsid w:val="59EA6BEE"/>
    <w:rsid w:val="5A1F40DF"/>
    <w:rsid w:val="5A655703"/>
    <w:rsid w:val="5A690D4F"/>
    <w:rsid w:val="5A7E61EE"/>
    <w:rsid w:val="5A8A17A4"/>
    <w:rsid w:val="5A9A35FE"/>
    <w:rsid w:val="5AB62190"/>
    <w:rsid w:val="5AC429BF"/>
    <w:rsid w:val="5AF05A78"/>
    <w:rsid w:val="5AF70A51"/>
    <w:rsid w:val="5B1213E7"/>
    <w:rsid w:val="5B265B08"/>
    <w:rsid w:val="5B415CBC"/>
    <w:rsid w:val="5B560EF0"/>
    <w:rsid w:val="5B7E6D1C"/>
    <w:rsid w:val="5B7ED426"/>
    <w:rsid w:val="5BC633A9"/>
    <w:rsid w:val="5BCC5A39"/>
    <w:rsid w:val="5BDB7A2A"/>
    <w:rsid w:val="5BEF265E"/>
    <w:rsid w:val="5BF64864"/>
    <w:rsid w:val="5C0952F3"/>
    <w:rsid w:val="5C153D97"/>
    <w:rsid w:val="5C78086A"/>
    <w:rsid w:val="5C7D6D34"/>
    <w:rsid w:val="5C7F7828"/>
    <w:rsid w:val="5C8A33AC"/>
    <w:rsid w:val="5CD71B78"/>
    <w:rsid w:val="5CEF3E18"/>
    <w:rsid w:val="5CFF1EBE"/>
    <w:rsid w:val="5D887B7A"/>
    <w:rsid w:val="5D900CE9"/>
    <w:rsid w:val="5D971CDF"/>
    <w:rsid w:val="5DA80D16"/>
    <w:rsid w:val="5DECD9AD"/>
    <w:rsid w:val="5DF94AE0"/>
    <w:rsid w:val="5DFDBFAB"/>
    <w:rsid w:val="5E2002BE"/>
    <w:rsid w:val="5E2B954A"/>
    <w:rsid w:val="5E9FC81A"/>
    <w:rsid w:val="5EA1DC1F"/>
    <w:rsid w:val="5EA467FA"/>
    <w:rsid w:val="5EB9B045"/>
    <w:rsid w:val="5EBF3A50"/>
    <w:rsid w:val="5ED74E21"/>
    <w:rsid w:val="5EF77271"/>
    <w:rsid w:val="5EFFA2D3"/>
    <w:rsid w:val="5F1871E8"/>
    <w:rsid w:val="5F4CC8F8"/>
    <w:rsid w:val="5F506981"/>
    <w:rsid w:val="5F5E0FA4"/>
    <w:rsid w:val="5F77A2ED"/>
    <w:rsid w:val="5F926F9A"/>
    <w:rsid w:val="5FA735D2"/>
    <w:rsid w:val="5FB03E3C"/>
    <w:rsid w:val="5FBE93FF"/>
    <w:rsid w:val="5FBFE839"/>
    <w:rsid w:val="5FEC7D4C"/>
    <w:rsid w:val="5FED7369"/>
    <w:rsid w:val="5FEF6116"/>
    <w:rsid w:val="5FFFB90D"/>
    <w:rsid w:val="600325B4"/>
    <w:rsid w:val="601259E5"/>
    <w:rsid w:val="60206354"/>
    <w:rsid w:val="60242AAE"/>
    <w:rsid w:val="6045400C"/>
    <w:rsid w:val="60B8658C"/>
    <w:rsid w:val="6103289E"/>
    <w:rsid w:val="613E4F83"/>
    <w:rsid w:val="61930DA7"/>
    <w:rsid w:val="61E37639"/>
    <w:rsid w:val="625978FB"/>
    <w:rsid w:val="62B72874"/>
    <w:rsid w:val="62C90F25"/>
    <w:rsid w:val="62CC6257"/>
    <w:rsid w:val="630E5001"/>
    <w:rsid w:val="633A772C"/>
    <w:rsid w:val="63536A40"/>
    <w:rsid w:val="638561D0"/>
    <w:rsid w:val="63AC035B"/>
    <w:rsid w:val="63C45248"/>
    <w:rsid w:val="63CD41A6"/>
    <w:rsid w:val="64431083"/>
    <w:rsid w:val="64432611"/>
    <w:rsid w:val="64AA6B34"/>
    <w:rsid w:val="64B71C9E"/>
    <w:rsid w:val="64BC1D30"/>
    <w:rsid w:val="64D21BE7"/>
    <w:rsid w:val="64EE6A20"/>
    <w:rsid w:val="650A2CC5"/>
    <w:rsid w:val="651E4E2C"/>
    <w:rsid w:val="6554084E"/>
    <w:rsid w:val="656E7BE6"/>
    <w:rsid w:val="65711400"/>
    <w:rsid w:val="65876E75"/>
    <w:rsid w:val="65A63A25"/>
    <w:rsid w:val="65B9AD50"/>
    <w:rsid w:val="65BF03BD"/>
    <w:rsid w:val="65C15EE3"/>
    <w:rsid w:val="65D320CC"/>
    <w:rsid w:val="65D42C8C"/>
    <w:rsid w:val="66044CA8"/>
    <w:rsid w:val="66154481"/>
    <w:rsid w:val="666351EC"/>
    <w:rsid w:val="668A09CB"/>
    <w:rsid w:val="66BC48FC"/>
    <w:rsid w:val="66CF2CA7"/>
    <w:rsid w:val="66EBC55B"/>
    <w:rsid w:val="66FE2E33"/>
    <w:rsid w:val="67064E05"/>
    <w:rsid w:val="67386679"/>
    <w:rsid w:val="676A2DDC"/>
    <w:rsid w:val="676C00D0"/>
    <w:rsid w:val="677C9CB9"/>
    <w:rsid w:val="67AE60F1"/>
    <w:rsid w:val="67E920AE"/>
    <w:rsid w:val="681F3395"/>
    <w:rsid w:val="685E210F"/>
    <w:rsid w:val="68D423D1"/>
    <w:rsid w:val="69034A64"/>
    <w:rsid w:val="69085BD7"/>
    <w:rsid w:val="69087695"/>
    <w:rsid w:val="692D42A9"/>
    <w:rsid w:val="697E7979"/>
    <w:rsid w:val="69AF24F6"/>
    <w:rsid w:val="69C064B2"/>
    <w:rsid w:val="69D63F27"/>
    <w:rsid w:val="69FF4E45"/>
    <w:rsid w:val="6A364414"/>
    <w:rsid w:val="6A3C1FDC"/>
    <w:rsid w:val="6A435BC0"/>
    <w:rsid w:val="6A7B48DB"/>
    <w:rsid w:val="6A7FDBAA"/>
    <w:rsid w:val="6AA10091"/>
    <w:rsid w:val="6AA87672"/>
    <w:rsid w:val="6ABE009D"/>
    <w:rsid w:val="6ACB3360"/>
    <w:rsid w:val="6AFB61ED"/>
    <w:rsid w:val="6AFC5236"/>
    <w:rsid w:val="6B7B6D45"/>
    <w:rsid w:val="6B7FCFEA"/>
    <w:rsid w:val="6B8A4FC9"/>
    <w:rsid w:val="6B997652"/>
    <w:rsid w:val="6BC746B9"/>
    <w:rsid w:val="6BC95AF1"/>
    <w:rsid w:val="6BE61923"/>
    <w:rsid w:val="6BF012D0"/>
    <w:rsid w:val="6BF3B3D4"/>
    <w:rsid w:val="6C304865"/>
    <w:rsid w:val="6C473A20"/>
    <w:rsid w:val="6C4B4758"/>
    <w:rsid w:val="6C4E5FF7"/>
    <w:rsid w:val="6C9FBCFA"/>
    <w:rsid w:val="6CA16A6E"/>
    <w:rsid w:val="6CE32BE3"/>
    <w:rsid w:val="6CE76A77"/>
    <w:rsid w:val="6CF11037"/>
    <w:rsid w:val="6CFAF58F"/>
    <w:rsid w:val="6D3811E3"/>
    <w:rsid w:val="6D5D0BE7"/>
    <w:rsid w:val="6D747CDF"/>
    <w:rsid w:val="6D851EEC"/>
    <w:rsid w:val="6DA305C4"/>
    <w:rsid w:val="6DAA1953"/>
    <w:rsid w:val="6DABFA3A"/>
    <w:rsid w:val="6DB16743"/>
    <w:rsid w:val="6DBFB4C2"/>
    <w:rsid w:val="6DDB00AB"/>
    <w:rsid w:val="6DE01B8E"/>
    <w:rsid w:val="6DFBE3F2"/>
    <w:rsid w:val="6E032E11"/>
    <w:rsid w:val="6E05302D"/>
    <w:rsid w:val="6E0C7F17"/>
    <w:rsid w:val="6E9475E3"/>
    <w:rsid w:val="6E9F3C9F"/>
    <w:rsid w:val="6EBA2157"/>
    <w:rsid w:val="6EBF21D1"/>
    <w:rsid w:val="6EDD861A"/>
    <w:rsid w:val="6EDFEB9C"/>
    <w:rsid w:val="6F1C10EB"/>
    <w:rsid w:val="6F5CE480"/>
    <w:rsid w:val="6F5F301C"/>
    <w:rsid w:val="6F7788FF"/>
    <w:rsid w:val="6FB6DA39"/>
    <w:rsid w:val="6FBBC32B"/>
    <w:rsid w:val="6FD902CD"/>
    <w:rsid w:val="6FEBDD80"/>
    <w:rsid w:val="6FF43F53"/>
    <w:rsid w:val="6FF53F70"/>
    <w:rsid w:val="6FFEED97"/>
    <w:rsid w:val="700D2C72"/>
    <w:rsid w:val="701F74FE"/>
    <w:rsid w:val="707406FA"/>
    <w:rsid w:val="70AC7CE0"/>
    <w:rsid w:val="70C9547E"/>
    <w:rsid w:val="70DA5067"/>
    <w:rsid w:val="70FB2954"/>
    <w:rsid w:val="711D793E"/>
    <w:rsid w:val="71204A76"/>
    <w:rsid w:val="71A06C04"/>
    <w:rsid w:val="71A566B9"/>
    <w:rsid w:val="71D5087F"/>
    <w:rsid w:val="72AB5194"/>
    <w:rsid w:val="72BFFDCE"/>
    <w:rsid w:val="72EC797F"/>
    <w:rsid w:val="73084911"/>
    <w:rsid w:val="73090EC9"/>
    <w:rsid w:val="731E2BC7"/>
    <w:rsid w:val="73234AF8"/>
    <w:rsid w:val="73467A28"/>
    <w:rsid w:val="735C552C"/>
    <w:rsid w:val="7378461B"/>
    <w:rsid w:val="73926C0B"/>
    <w:rsid w:val="73F05BE5"/>
    <w:rsid w:val="73F733C3"/>
    <w:rsid w:val="73FF225C"/>
    <w:rsid w:val="743C1F26"/>
    <w:rsid w:val="7480205F"/>
    <w:rsid w:val="748A1F20"/>
    <w:rsid w:val="74973049"/>
    <w:rsid w:val="74B048C4"/>
    <w:rsid w:val="74B11819"/>
    <w:rsid w:val="74DA48CB"/>
    <w:rsid w:val="74DC4AE7"/>
    <w:rsid w:val="74EFAB8C"/>
    <w:rsid w:val="751E7FE6"/>
    <w:rsid w:val="753D4E5A"/>
    <w:rsid w:val="754D7793"/>
    <w:rsid w:val="757F1BA4"/>
    <w:rsid w:val="759915A9"/>
    <w:rsid w:val="75A5137D"/>
    <w:rsid w:val="75BF0F55"/>
    <w:rsid w:val="75E55C1E"/>
    <w:rsid w:val="75FF2C4D"/>
    <w:rsid w:val="76041D8F"/>
    <w:rsid w:val="762A3631"/>
    <w:rsid w:val="76482B88"/>
    <w:rsid w:val="764F669F"/>
    <w:rsid w:val="765F1837"/>
    <w:rsid w:val="76685F07"/>
    <w:rsid w:val="767D2A6A"/>
    <w:rsid w:val="76ADCB49"/>
    <w:rsid w:val="76BB8EB3"/>
    <w:rsid w:val="76D68A8B"/>
    <w:rsid w:val="76DD4B47"/>
    <w:rsid w:val="76FD97C1"/>
    <w:rsid w:val="77585F7B"/>
    <w:rsid w:val="7760D300"/>
    <w:rsid w:val="77752ECC"/>
    <w:rsid w:val="778DF576"/>
    <w:rsid w:val="778F832B"/>
    <w:rsid w:val="7795704B"/>
    <w:rsid w:val="779C055E"/>
    <w:rsid w:val="77C54A1E"/>
    <w:rsid w:val="77FB5773"/>
    <w:rsid w:val="77FB9FA2"/>
    <w:rsid w:val="77FFCBBF"/>
    <w:rsid w:val="787C30B6"/>
    <w:rsid w:val="78911745"/>
    <w:rsid w:val="78BB0562"/>
    <w:rsid w:val="78D45AD6"/>
    <w:rsid w:val="79144124"/>
    <w:rsid w:val="79556C16"/>
    <w:rsid w:val="796B643A"/>
    <w:rsid w:val="79BD2431"/>
    <w:rsid w:val="79CE0777"/>
    <w:rsid w:val="79D35D8D"/>
    <w:rsid w:val="79DB9E36"/>
    <w:rsid w:val="79DE6354"/>
    <w:rsid w:val="79DF9A0C"/>
    <w:rsid w:val="79FFC461"/>
    <w:rsid w:val="7A044199"/>
    <w:rsid w:val="7A272470"/>
    <w:rsid w:val="7A8D23E0"/>
    <w:rsid w:val="7AC7C5BD"/>
    <w:rsid w:val="7ADF2904"/>
    <w:rsid w:val="7B3FF031"/>
    <w:rsid w:val="7B5A5554"/>
    <w:rsid w:val="7B5C3128"/>
    <w:rsid w:val="7B5FA494"/>
    <w:rsid w:val="7B65351C"/>
    <w:rsid w:val="7B9D48A5"/>
    <w:rsid w:val="7B9E1A50"/>
    <w:rsid w:val="7BB59C2A"/>
    <w:rsid w:val="7BBEC34E"/>
    <w:rsid w:val="7BD93132"/>
    <w:rsid w:val="7BEFCCA3"/>
    <w:rsid w:val="7BF5023D"/>
    <w:rsid w:val="7BF7AB0E"/>
    <w:rsid w:val="7C0641F8"/>
    <w:rsid w:val="7C6F62F6"/>
    <w:rsid w:val="7C7387C3"/>
    <w:rsid w:val="7C7FB54B"/>
    <w:rsid w:val="7C920181"/>
    <w:rsid w:val="7C9E2E95"/>
    <w:rsid w:val="7CA7588C"/>
    <w:rsid w:val="7CB5BA67"/>
    <w:rsid w:val="7CCD87B0"/>
    <w:rsid w:val="7CD6006E"/>
    <w:rsid w:val="7CF3249A"/>
    <w:rsid w:val="7D2B4FB3"/>
    <w:rsid w:val="7D3CFC96"/>
    <w:rsid w:val="7D5316BF"/>
    <w:rsid w:val="7D536578"/>
    <w:rsid w:val="7D7C30CE"/>
    <w:rsid w:val="7D7F0C26"/>
    <w:rsid w:val="7D8F646F"/>
    <w:rsid w:val="7DA243F4"/>
    <w:rsid w:val="7DA40413"/>
    <w:rsid w:val="7DA97531"/>
    <w:rsid w:val="7DB54F8A"/>
    <w:rsid w:val="7DB6EA17"/>
    <w:rsid w:val="7DBC59E2"/>
    <w:rsid w:val="7DCD08AB"/>
    <w:rsid w:val="7DD55416"/>
    <w:rsid w:val="7DE762AB"/>
    <w:rsid w:val="7DED2FD5"/>
    <w:rsid w:val="7DFAD31B"/>
    <w:rsid w:val="7DFF1CF4"/>
    <w:rsid w:val="7E1A3F8B"/>
    <w:rsid w:val="7E67F134"/>
    <w:rsid w:val="7E6F22E3"/>
    <w:rsid w:val="7E7A1893"/>
    <w:rsid w:val="7E93BAF9"/>
    <w:rsid w:val="7E97D62A"/>
    <w:rsid w:val="7EB28BC7"/>
    <w:rsid w:val="7EB443DF"/>
    <w:rsid w:val="7EB7038C"/>
    <w:rsid w:val="7EB7DEAE"/>
    <w:rsid w:val="7EBF8D01"/>
    <w:rsid w:val="7ECDFB0F"/>
    <w:rsid w:val="7ED4682F"/>
    <w:rsid w:val="7EE224A3"/>
    <w:rsid w:val="7EEF0E05"/>
    <w:rsid w:val="7EFFF7F8"/>
    <w:rsid w:val="7F3ECDC7"/>
    <w:rsid w:val="7F4E1B1A"/>
    <w:rsid w:val="7F5A6812"/>
    <w:rsid w:val="7F7AB927"/>
    <w:rsid w:val="7F7B71CC"/>
    <w:rsid w:val="7F7BC676"/>
    <w:rsid w:val="7F7D1F31"/>
    <w:rsid w:val="7F7D4723"/>
    <w:rsid w:val="7F7D6D07"/>
    <w:rsid w:val="7F7E5433"/>
    <w:rsid w:val="7F8020B8"/>
    <w:rsid w:val="7F846F1D"/>
    <w:rsid w:val="7F8E2CC9"/>
    <w:rsid w:val="7F8FCD62"/>
    <w:rsid w:val="7F976598"/>
    <w:rsid w:val="7FA751BA"/>
    <w:rsid w:val="7FB74EB1"/>
    <w:rsid w:val="7FBDAC76"/>
    <w:rsid w:val="7FBDF962"/>
    <w:rsid w:val="7FBF44CE"/>
    <w:rsid w:val="7FD6F4C9"/>
    <w:rsid w:val="7FDB83BC"/>
    <w:rsid w:val="7FDDA8C0"/>
    <w:rsid w:val="7FEE4D36"/>
    <w:rsid w:val="7FEFE61E"/>
    <w:rsid w:val="7FF08398"/>
    <w:rsid w:val="7FF7E8DC"/>
    <w:rsid w:val="7FF90641"/>
    <w:rsid w:val="7FFB0157"/>
    <w:rsid w:val="7FFDF5C7"/>
    <w:rsid w:val="7FFF72DE"/>
    <w:rsid w:val="87FD8CAA"/>
    <w:rsid w:val="8EF6281F"/>
    <w:rsid w:val="8FB79485"/>
    <w:rsid w:val="94FD683A"/>
    <w:rsid w:val="975D3FC9"/>
    <w:rsid w:val="9C2A88BC"/>
    <w:rsid w:val="9D7E5786"/>
    <w:rsid w:val="9D7FDD87"/>
    <w:rsid w:val="9F453F19"/>
    <w:rsid w:val="9F4DE9AD"/>
    <w:rsid w:val="9F67B044"/>
    <w:rsid w:val="9FBB77AC"/>
    <w:rsid w:val="9FBFC8D4"/>
    <w:rsid w:val="9FF94E7F"/>
    <w:rsid w:val="A3F9B29D"/>
    <w:rsid w:val="A6BA03DD"/>
    <w:rsid w:val="A6F6F0A3"/>
    <w:rsid w:val="A7CF946A"/>
    <w:rsid w:val="A7F7C936"/>
    <w:rsid w:val="AA2B7177"/>
    <w:rsid w:val="ABFDEC64"/>
    <w:rsid w:val="ABFFA1A9"/>
    <w:rsid w:val="AD6A5CF4"/>
    <w:rsid w:val="AE566D90"/>
    <w:rsid w:val="AF4FA1A9"/>
    <w:rsid w:val="AF9FC224"/>
    <w:rsid w:val="AFF7B309"/>
    <w:rsid w:val="B0F61D13"/>
    <w:rsid w:val="B27E8B15"/>
    <w:rsid w:val="B2D97626"/>
    <w:rsid w:val="B69D6B8A"/>
    <w:rsid w:val="B6EB16F3"/>
    <w:rsid w:val="B725C4AF"/>
    <w:rsid w:val="B7AE24B1"/>
    <w:rsid w:val="B7C38CFB"/>
    <w:rsid w:val="B7F7400B"/>
    <w:rsid w:val="B7FF9899"/>
    <w:rsid w:val="B87D1702"/>
    <w:rsid w:val="B917D3F3"/>
    <w:rsid w:val="B9FFB7FF"/>
    <w:rsid w:val="BACF9C5D"/>
    <w:rsid w:val="BADE3E27"/>
    <w:rsid w:val="BAF2B79E"/>
    <w:rsid w:val="BB798ED7"/>
    <w:rsid w:val="BBB8A603"/>
    <w:rsid w:val="BBFBA65D"/>
    <w:rsid w:val="BC7BC9F8"/>
    <w:rsid w:val="BC7DB96A"/>
    <w:rsid w:val="BCAC1CDC"/>
    <w:rsid w:val="BCDCDC64"/>
    <w:rsid w:val="BDFE3BB1"/>
    <w:rsid w:val="BDFFEEDB"/>
    <w:rsid w:val="BEF5BF58"/>
    <w:rsid w:val="BEFF7CBC"/>
    <w:rsid w:val="BEFF9DC4"/>
    <w:rsid w:val="BF47382C"/>
    <w:rsid w:val="BFAF094C"/>
    <w:rsid w:val="BFBA8513"/>
    <w:rsid w:val="BFBF3302"/>
    <w:rsid w:val="BFBFF1B4"/>
    <w:rsid w:val="BFCF4CDB"/>
    <w:rsid w:val="BFDB4DD3"/>
    <w:rsid w:val="BFDED0DE"/>
    <w:rsid w:val="BFEE4BF9"/>
    <w:rsid w:val="BFF274BE"/>
    <w:rsid w:val="BFFE7AB4"/>
    <w:rsid w:val="C2AB87D3"/>
    <w:rsid w:val="C37F2D87"/>
    <w:rsid w:val="C5DE35B1"/>
    <w:rsid w:val="C7751E5C"/>
    <w:rsid w:val="C7DEE565"/>
    <w:rsid w:val="CBFB635C"/>
    <w:rsid w:val="CFDB2D3C"/>
    <w:rsid w:val="CFDDEDF0"/>
    <w:rsid w:val="CFDF7847"/>
    <w:rsid w:val="D1DB7541"/>
    <w:rsid w:val="D2FDDE84"/>
    <w:rsid w:val="D3B02C09"/>
    <w:rsid w:val="D3B9780A"/>
    <w:rsid w:val="D3BB9324"/>
    <w:rsid w:val="D5DFE251"/>
    <w:rsid w:val="D5FD1F86"/>
    <w:rsid w:val="D758210C"/>
    <w:rsid w:val="D773E8A1"/>
    <w:rsid w:val="D79B5CA0"/>
    <w:rsid w:val="D7BB62F4"/>
    <w:rsid w:val="D7E67AA1"/>
    <w:rsid w:val="D7FF4058"/>
    <w:rsid w:val="D9EECA2B"/>
    <w:rsid w:val="D9FF7BAA"/>
    <w:rsid w:val="DB67CB38"/>
    <w:rsid w:val="DB694034"/>
    <w:rsid w:val="DBDDC7FF"/>
    <w:rsid w:val="DBFF1B2F"/>
    <w:rsid w:val="DDEC164D"/>
    <w:rsid w:val="DDFFA6EE"/>
    <w:rsid w:val="DEB71351"/>
    <w:rsid w:val="DF4EFB98"/>
    <w:rsid w:val="DF770A38"/>
    <w:rsid w:val="DFB53AE4"/>
    <w:rsid w:val="DFEF884A"/>
    <w:rsid w:val="DFF755AC"/>
    <w:rsid w:val="DFF7C3D2"/>
    <w:rsid w:val="DFFB02C9"/>
    <w:rsid w:val="DFFD3349"/>
    <w:rsid w:val="E33FA1CE"/>
    <w:rsid w:val="E39E439B"/>
    <w:rsid w:val="E57FB1A3"/>
    <w:rsid w:val="E5BFCDAC"/>
    <w:rsid w:val="E676BCED"/>
    <w:rsid w:val="E6DD9DA7"/>
    <w:rsid w:val="E75E91A0"/>
    <w:rsid w:val="E77F0C78"/>
    <w:rsid w:val="E7AD43AC"/>
    <w:rsid w:val="E7E435CD"/>
    <w:rsid w:val="E7FB5ACE"/>
    <w:rsid w:val="E95E0999"/>
    <w:rsid w:val="EA92283E"/>
    <w:rsid w:val="EBB5ED65"/>
    <w:rsid w:val="EBEDA41B"/>
    <w:rsid w:val="EBEFAAB5"/>
    <w:rsid w:val="EBFBB34E"/>
    <w:rsid w:val="EC6F3B04"/>
    <w:rsid w:val="ECF2CF06"/>
    <w:rsid w:val="ED333957"/>
    <w:rsid w:val="EDAE40FF"/>
    <w:rsid w:val="EDED8EC4"/>
    <w:rsid w:val="EDF73C62"/>
    <w:rsid w:val="EDFE78F0"/>
    <w:rsid w:val="EDFF0815"/>
    <w:rsid w:val="EE3ABBDC"/>
    <w:rsid w:val="EEFAD1D1"/>
    <w:rsid w:val="EEFDB0A8"/>
    <w:rsid w:val="EF376A8A"/>
    <w:rsid w:val="EF76F6DF"/>
    <w:rsid w:val="EF775AF0"/>
    <w:rsid w:val="EF8D8A91"/>
    <w:rsid w:val="EF978044"/>
    <w:rsid w:val="EF9FC26D"/>
    <w:rsid w:val="EFAC87DE"/>
    <w:rsid w:val="EFBC113A"/>
    <w:rsid w:val="EFEF50E1"/>
    <w:rsid w:val="EFF71422"/>
    <w:rsid w:val="EFFFF5AB"/>
    <w:rsid w:val="F1FE0B4E"/>
    <w:rsid w:val="F1FFF6F3"/>
    <w:rsid w:val="F2AFA949"/>
    <w:rsid w:val="F32BA1D8"/>
    <w:rsid w:val="F397D3FA"/>
    <w:rsid w:val="F3B70939"/>
    <w:rsid w:val="F3C77621"/>
    <w:rsid w:val="F3F52572"/>
    <w:rsid w:val="F3F77608"/>
    <w:rsid w:val="F466A38B"/>
    <w:rsid w:val="F4F64307"/>
    <w:rsid w:val="F52BE2C0"/>
    <w:rsid w:val="F5C5AD1F"/>
    <w:rsid w:val="F5F7D9BF"/>
    <w:rsid w:val="F5FB58EF"/>
    <w:rsid w:val="F6FB2655"/>
    <w:rsid w:val="F77308A7"/>
    <w:rsid w:val="F7767D82"/>
    <w:rsid w:val="F7DDEF37"/>
    <w:rsid w:val="F7E727C7"/>
    <w:rsid w:val="F7F76F36"/>
    <w:rsid w:val="F7F9E5C2"/>
    <w:rsid w:val="F7FD1B8C"/>
    <w:rsid w:val="F7FF943B"/>
    <w:rsid w:val="F8773E70"/>
    <w:rsid w:val="F8E2A4AE"/>
    <w:rsid w:val="F99F80D8"/>
    <w:rsid w:val="F9BA4AE4"/>
    <w:rsid w:val="F9EF723C"/>
    <w:rsid w:val="F9EFF10C"/>
    <w:rsid w:val="FA7B02D1"/>
    <w:rsid w:val="FAFB8626"/>
    <w:rsid w:val="FAFFDC39"/>
    <w:rsid w:val="FB3B4050"/>
    <w:rsid w:val="FB59DC38"/>
    <w:rsid w:val="FB6FAC61"/>
    <w:rsid w:val="FB79AC6E"/>
    <w:rsid w:val="FB7ECB58"/>
    <w:rsid w:val="FB7F0C9D"/>
    <w:rsid w:val="FBBF47AC"/>
    <w:rsid w:val="FBD702F8"/>
    <w:rsid w:val="FBFA06E1"/>
    <w:rsid w:val="FC5EC93F"/>
    <w:rsid w:val="FC5F575F"/>
    <w:rsid w:val="FC76DB11"/>
    <w:rsid w:val="FC778928"/>
    <w:rsid w:val="FC7D466C"/>
    <w:rsid w:val="FC9785C2"/>
    <w:rsid w:val="FCB95091"/>
    <w:rsid w:val="FD7DCF4B"/>
    <w:rsid w:val="FD9FDE27"/>
    <w:rsid w:val="FDB8469E"/>
    <w:rsid w:val="FDCBD2CF"/>
    <w:rsid w:val="FDCEECFD"/>
    <w:rsid w:val="FDD22AED"/>
    <w:rsid w:val="FDDEE255"/>
    <w:rsid w:val="FDEF9904"/>
    <w:rsid w:val="FDFFC24D"/>
    <w:rsid w:val="FDFFD226"/>
    <w:rsid w:val="FDFFFD42"/>
    <w:rsid w:val="FE776E5C"/>
    <w:rsid w:val="FE77C862"/>
    <w:rsid w:val="FED0BD0F"/>
    <w:rsid w:val="FED82747"/>
    <w:rsid w:val="FEDD16EC"/>
    <w:rsid w:val="FEF7905D"/>
    <w:rsid w:val="FEF9C128"/>
    <w:rsid w:val="FEFB6A6A"/>
    <w:rsid w:val="FEFDAAAF"/>
    <w:rsid w:val="FF179309"/>
    <w:rsid w:val="FF2D2032"/>
    <w:rsid w:val="FF3E5147"/>
    <w:rsid w:val="FF3EF86F"/>
    <w:rsid w:val="FF4DDA3E"/>
    <w:rsid w:val="FF57F00E"/>
    <w:rsid w:val="FF6FA46E"/>
    <w:rsid w:val="FF7B9CA6"/>
    <w:rsid w:val="FF7DFD03"/>
    <w:rsid w:val="FF7F7885"/>
    <w:rsid w:val="FF7FB38E"/>
    <w:rsid w:val="FF969A39"/>
    <w:rsid w:val="FF9A4811"/>
    <w:rsid w:val="FFAC5EFF"/>
    <w:rsid w:val="FFB2BE91"/>
    <w:rsid w:val="FFBC0684"/>
    <w:rsid w:val="FFBC7C4F"/>
    <w:rsid w:val="FFBD3260"/>
    <w:rsid w:val="FFBF8E0F"/>
    <w:rsid w:val="FFC19730"/>
    <w:rsid w:val="FFD5B988"/>
    <w:rsid w:val="FFDE9611"/>
    <w:rsid w:val="FFDF5946"/>
    <w:rsid w:val="FFDFB20F"/>
    <w:rsid w:val="FFEF4FD9"/>
    <w:rsid w:val="FFF41666"/>
    <w:rsid w:val="FFF8DBAB"/>
    <w:rsid w:val="FFFB533F"/>
    <w:rsid w:val="FFFFBEF7"/>
    <w:rsid w:val="FFFFC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宋体" w:cs="Times New Roman"/>
      <w:kern w:val="0"/>
      <w:sz w:val="28"/>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1"/>
      <w:szCs w:val="31"/>
      <w:lang w:val="en-US" w:eastAsia="en-US" w:bidi="ar-SA"/>
    </w:rPr>
  </w:style>
  <w:style w:type="paragraph" w:styleId="3">
    <w:name w:val="toc 5"/>
    <w:basedOn w:val="1"/>
    <w:next w:val="1"/>
    <w:qFormat/>
    <w:uiPriority w:val="0"/>
    <w:pPr>
      <w:ind w:left="1680" w:leftChars="8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
    </w:rPr>
  </w:style>
  <w:style w:type="paragraph" w:styleId="7">
    <w:name w:val="Body Text First Indent"/>
    <w:basedOn w:val="2"/>
    <w:qFormat/>
    <w:uiPriority w:val="0"/>
    <w:pPr>
      <w:ind w:firstLine="420" w:firstLineChars="100"/>
    </w:pPr>
  </w:style>
  <w:style w:type="paragraph" w:customStyle="1" w:styleId="10">
    <w:name w:val="列出段落1"/>
    <w:basedOn w:val="1"/>
    <w:qFormat/>
    <w:uiPriority w:val="34"/>
    <w:pPr>
      <w:ind w:firstLine="420" w:firstLineChars="200"/>
    </w:pPr>
  </w:style>
  <w:style w:type="paragraph" w:styleId="11">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3157</Words>
  <Characters>3602</Characters>
  <Lines>0</Lines>
  <Paragraphs>0</Paragraphs>
  <TotalTime>54</TotalTime>
  <ScaleCrop>false</ScaleCrop>
  <LinksUpToDate>false</LinksUpToDate>
  <CharactersWithSpaces>3829</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2024-03-26T16:36:00Z</dcterms:created>
  <dc:creator>Administrator</dc:creator>
  <cp:lastModifiedBy>Freedom</cp:lastModifiedBy>
  <dcterms:modified xsi:type="dcterms:W3CDTF">2026-10-08T12:06:31Z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BC7A4569F55B4C2CB98C4E47ECD082E9_13</vt:lpwstr>
  </property>
  <property fmtid="{D5CDD505-2E9C-101B-9397-08002B2CF9AE}" pid="4" name="KSOTemplateDocerSaveRecord">
    <vt:lpwstr>eyJoZGlkIjoiM2ExM2I1Y2E5MTg1NzJhN2FkNjlmNDg5OTI5OGY3ZTQiLCJ1c2VySWQiOiI0MTQ2OTI3NDEifQ==</vt:lpwstr>
  </property>
</Properties>
</file>