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025D8">
      <w:pPr>
        <w:pStyle w:val="12"/>
        <w:jc w:val="center"/>
        <w:rPr>
          <w:sz w:val="56"/>
          <w:szCs w:val="56"/>
        </w:rPr>
      </w:pPr>
    </w:p>
    <w:p w14:paraId="34AB07AE">
      <w:pPr>
        <w:pStyle w:val="12"/>
        <w:jc w:val="center"/>
        <w:rPr>
          <w:sz w:val="56"/>
          <w:szCs w:val="56"/>
        </w:rPr>
      </w:pPr>
    </w:p>
    <w:p w14:paraId="43861B9A">
      <w:pPr>
        <w:pStyle w:val="12"/>
        <w:jc w:val="center"/>
        <w:rPr>
          <w:sz w:val="84"/>
          <w:szCs w:val="84"/>
        </w:rPr>
      </w:pPr>
    </w:p>
    <w:p w14:paraId="622675B9">
      <w:pPr>
        <w:pStyle w:val="12"/>
        <w:jc w:val="center"/>
        <w:rPr>
          <w:sz w:val="84"/>
          <w:szCs w:val="84"/>
        </w:rPr>
      </w:pPr>
    </w:p>
    <w:p w14:paraId="56842B18">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7C03A187">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岳阳市城市管理和综合执法局部门决算</w:t>
      </w:r>
    </w:p>
    <w:p w14:paraId="1CDA2F95">
      <w:pPr>
        <w:pStyle w:val="12"/>
        <w:jc w:val="center"/>
        <w:rPr>
          <w:rFonts w:hint="eastAsia" w:ascii="方正小标宋_GBK" w:hAnsi="方正小标宋_GBK" w:eastAsia="方正小标宋_GBK" w:cs="方正小标宋_GBK"/>
          <w:sz w:val="56"/>
          <w:szCs w:val="56"/>
        </w:rPr>
      </w:pPr>
    </w:p>
    <w:p w14:paraId="2ADE3D6E">
      <w:pPr>
        <w:pStyle w:val="12"/>
        <w:jc w:val="center"/>
        <w:rPr>
          <w:sz w:val="56"/>
          <w:szCs w:val="56"/>
        </w:rPr>
      </w:pPr>
    </w:p>
    <w:p w14:paraId="320E4660">
      <w:pPr>
        <w:pStyle w:val="12"/>
        <w:jc w:val="center"/>
        <w:rPr>
          <w:sz w:val="56"/>
          <w:szCs w:val="56"/>
        </w:rPr>
      </w:pPr>
    </w:p>
    <w:p w14:paraId="432D0F13">
      <w:pPr>
        <w:pStyle w:val="12"/>
        <w:jc w:val="center"/>
        <w:rPr>
          <w:sz w:val="56"/>
          <w:szCs w:val="56"/>
        </w:rPr>
      </w:pPr>
    </w:p>
    <w:p w14:paraId="4E00B7F3">
      <w:pPr>
        <w:pStyle w:val="12"/>
        <w:jc w:val="center"/>
        <w:rPr>
          <w:sz w:val="32"/>
          <w:szCs w:val="32"/>
        </w:rPr>
      </w:pPr>
    </w:p>
    <w:p w14:paraId="504A12AD">
      <w:pPr>
        <w:pStyle w:val="12"/>
        <w:jc w:val="center"/>
        <w:rPr>
          <w:sz w:val="32"/>
          <w:szCs w:val="32"/>
        </w:rPr>
      </w:pPr>
    </w:p>
    <w:p w14:paraId="0DF2025D">
      <w:pPr>
        <w:pStyle w:val="12"/>
        <w:jc w:val="center"/>
        <w:rPr>
          <w:sz w:val="32"/>
          <w:szCs w:val="32"/>
        </w:rPr>
      </w:pPr>
    </w:p>
    <w:p w14:paraId="745F94C6">
      <w:pPr>
        <w:pStyle w:val="12"/>
        <w:spacing w:line="500" w:lineRule="exact"/>
        <w:jc w:val="both"/>
        <w:rPr>
          <w:b/>
          <w:sz w:val="36"/>
          <w:szCs w:val="28"/>
        </w:rPr>
      </w:pPr>
    </w:p>
    <w:p w14:paraId="0FCAB25F">
      <w:pPr>
        <w:pStyle w:val="12"/>
        <w:spacing w:line="500" w:lineRule="exact"/>
        <w:jc w:val="center"/>
        <w:rPr>
          <w:b/>
          <w:sz w:val="36"/>
          <w:szCs w:val="28"/>
        </w:rPr>
      </w:pPr>
      <w:r>
        <w:rPr>
          <w:rFonts w:hint="eastAsia"/>
          <w:b/>
          <w:sz w:val="36"/>
          <w:szCs w:val="28"/>
        </w:rPr>
        <w:t>目录</w:t>
      </w:r>
    </w:p>
    <w:p w14:paraId="005DAAFA">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岳阳市城市管理和综合执法局</w:t>
      </w:r>
      <w:r>
        <w:rPr>
          <w:rFonts w:hint="eastAsia" w:hAnsi="黑体" w:cs="黑体"/>
          <w:b w:val="0"/>
          <w:bCs/>
          <w:sz w:val="28"/>
          <w:szCs w:val="28"/>
          <w:lang w:val="en-US" w:eastAsia="zh-CN"/>
        </w:rPr>
        <w:t>部门</w:t>
      </w:r>
      <w:r>
        <w:rPr>
          <w:rFonts w:hint="eastAsia" w:ascii="黑体" w:hAnsi="黑体" w:eastAsia="黑体" w:cs="黑体"/>
          <w:b w:val="0"/>
          <w:bCs/>
          <w:sz w:val="28"/>
          <w:szCs w:val="28"/>
        </w:rPr>
        <w:t>概况</w:t>
      </w:r>
    </w:p>
    <w:p w14:paraId="3A5A18C0">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63B7B2FD">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45C45DD9">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63E2BB4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1B8244E7">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74C6626">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629A220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77318202">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2175372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011A5612">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755F314D">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D7F901C">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555EE3B8">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5DAB1D6F">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6B6336FA">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163EA0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2F91627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4FD6D26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72D50F0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3633568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3D4B171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6A5C766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5B94C1F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73BE93F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35A50A3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02C09CAD">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0A509B38">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486B81E4">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432CC5BA">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0D4C9B2A">
      <w:pPr>
        <w:pStyle w:val="12"/>
        <w:jc w:val="center"/>
        <w:rPr>
          <w:rFonts w:hint="eastAsia" w:ascii="方正小标宋_GBK" w:hAnsi="方正小标宋_GBK" w:eastAsia="方正小标宋_GBK" w:cs="方正小标宋_GBK"/>
          <w:sz w:val="84"/>
          <w:szCs w:val="84"/>
        </w:rPr>
      </w:pPr>
    </w:p>
    <w:p w14:paraId="09FC7113">
      <w:pPr>
        <w:pStyle w:val="12"/>
        <w:jc w:val="center"/>
        <w:rPr>
          <w:rFonts w:hint="eastAsia" w:ascii="方正小标宋_GBK" w:hAnsi="方正小标宋_GBK" w:eastAsia="方正小标宋_GBK" w:cs="方正小标宋_GBK"/>
          <w:sz w:val="84"/>
          <w:szCs w:val="84"/>
        </w:rPr>
      </w:pPr>
    </w:p>
    <w:p w14:paraId="049F5C25">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0B6CBEA">
      <w:pPr>
        <w:pStyle w:val="12"/>
        <w:jc w:val="center"/>
        <w:rPr>
          <w:rFonts w:hint="eastAsia" w:ascii="方正小标宋_GBK" w:hAnsi="方正小标宋_GBK" w:eastAsia="方正小标宋_GBK" w:cs="方正小标宋_GBK"/>
          <w:sz w:val="84"/>
          <w:szCs w:val="84"/>
        </w:rPr>
      </w:pPr>
    </w:p>
    <w:p w14:paraId="55A43E5E">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岳阳市城市管理和综合执法局部门概况</w:t>
      </w:r>
    </w:p>
    <w:p w14:paraId="19591F2D">
      <w:pPr>
        <w:pStyle w:val="7"/>
        <w:rPr>
          <w:rFonts w:hint="eastAsia" w:ascii="方正小标宋_GBK" w:hAnsi="方正小标宋_GBK" w:eastAsia="方正小标宋_GBK" w:cs="方正小标宋_GBK"/>
          <w:sz w:val="84"/>
          <w:szCs w:val="84"/>
        </w:rPr>
      </w:pPr>
    </w:p>
    <w:p w14:paraId="5D5B6CFE">
      <w:pPr>
        <w:pStyle w:val="3"/>
        <w:rPr>
          <w:rFonts w:hint="eastAsia" w:ascii="方正小标宋_GBK" w:hAnsi="方正小标宋_GBK" w:eastAsia="方正小标宋_GBK" w:cs="方正小标宋_GBK"/>
          <w:sz w:val="84"/>
          <w:szCs w:val="84"/>
        </w:rPr>
      </w:pPr>
    </w:p>
    <w:p w14:paraId="190D6CA4">
      <w:pPr>
        <w:rPr>
          <w:rFonts w:hint="eastAsia" w:ascii="方正小标宋_GBK" w:hAnsi="方正小标宋_GBK" w:eastAsia="方正小标宋_GBK" w:cs="方正小标宋_GBK"/>
          <w:sz w:val="84"/>
          <w:szCs w:val="84"/>
        </w:rPr>
      </w:pPr>
    </w:p>
    <w:p w14:paraId="58597D3C">
      <w:pPr>
        <w:pStyle w:val="3"/>
        <w:ind w:left="0" w:leftChars="0" w:firstLine="0" w:firstLineChars="0"/>
        <w:rPr>
          <w:rFonts w:hint="eastAsia" w:ascii="方正小标宋_GBK" w:hAnsi="方正小标宋_GBK" w:eastAsia="方正小标宋_GBK" w:cs="方正小标宋_GBK"/>
          <w:sz w:val="84"/>
          <w:szCs w:val="84"/>
        </w:rPr>
      </w:pPr>
    </w:p>
    <w:p w14:paraId="38C5964D">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7AE04C1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岳阳市城市管理和综合执法局主要承担市容环卫、园林绿化、市政维护、路灯亮化、户外广告、渣土运输、道路破占、固废处置、城镇燃气、智慧城管、停车管理、综合执法、市主城区防涝等职责职能。</w:t>
      </w:r>
    </w:p>
    <w:p w14:paraId="79771636">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0A9C28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rPr>
      </w:pPr>
      <w:r>
        <w:rPr>
          <w:rFonts w:hint="eastAsia" w:ascii="Times New Roman" w:hAnsi="Times New Roman" w:eastAsia="仿宋_GB2312" w:cs="仿宋_GB2312"/>
          <w:bCs/>
          <w:kern w:val="0"/>
          <w:sz w:val="32"/>
          <w:szCs w:val="32"/>
        </w:rPr>
        <w:t>（一）内设机构设置。岳阳市城市管理和综合执法局内设机构包括：办公室、人事科、综合调研室、计划财务审计科、信访维稳科、政策法规科、执法监督科、行政审批科、城市管理考评科、环境卫生管理科、基础设施建设管理科（规划技术科）、园林绿化管理科、燃气和安全管理科、城市容貌管理科、地下管线管理科。按章程设置机关党委、机关纪委，按相关规定设置城市管理工会、离退休人员管理服务科等19个科室。</w:t>
      </w:r>
    </w:p>
    <w:p w14:paraId="59AAC8F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pPr>
      <w:r>
        <w:rPr>
          <w:rFonts w:hint="eastAsia" w:ascii="Times New Roman" w:hAnsi="Times New Roman" w:eastAsia="仿宋_GB2312" w:cs="仿宋_GB2312"/>
          <w:bCs/>
          <w:kern w:val="0"/>
          <w:sz w:val="32"/>
          <w:szCs w:val="32"/>
        </w:rPr>
        <w:t>（二）决算单位构成。岳阳市城市管理和综合执法局202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年部门决算汇总公开单位构成包括：岳阳市城市管理和综合执法局本级以及岳阳市</w:t>
      </w:r>
      <w:r>
        <w:rPr>
          <w:rFonts w:hint="eastAsia" w:ascii="Times New Roman" w:hAnsi="Times New Roman" w:eastAsia="仿宋_GB2312" w:cs="仿宋_GB2312"/>
          <w:bCs/>
          <w:kern w:val="0"/>
          <w:sz w:val="32"/>
          <w:szCs w:val="32"/>
          <w:lang w:val="en-US" w:eastAsia="zh-CN"/>
        </w:rPr>
        <w:t>城市管理综合</w:t>
      </w:r>
      <w:r>
        <w:rPr>
          <w:rFonts w:hint="eastAsia" w:ascii="Times New Roman" w:hAnsi="Times New Roman" w:eastAsia="仿宋_GB2312" w:cs="仿宋_GB2312"/>
          <w:bCs/>
          <w:kern w:val="0"/>
          <w:sz w:val="32"/>
          <w:szCs w:val="32"/>
        </w:rPr>
        <w:t>行政执法支队、岳阳市城市管理事务中心、岳阳市园林绿化管理中心、岳阳市市政维护管理中心、岳阳市城市照明管理中心、岳阳市智慧城管指挥中心、岳阳市停车管理服务中心、</w:t>
      </w:r>
      <w:r>
        <w:rPr>
          <w:rFonts w:hint="eastAsia" w:ascii="Times New Roman" w:hAnsi="Times New Roman" w:eastAsia="仿宋_GB2312" w:cs="仿宋_GB2312"/>
          <w:bCs/>
          <w:kern w:val="0"/>
          <w:sz w:val="32"/>
          <w:szCs w:val="32"/>
          <w:lang w:val="en-US" w:eastAsia="zh-CN"/>
        </w:rPr>
        <w:t>岳阳</w:t>
      </w:r>
      <w:r>
        <w:rPr>
          <w:rFonts w:hint="eastAsia" w:ascii="Times New Roman" w:hAnsi="Times New Roman" w:eastAsia="仿宋_GB2312" w:cs="仿宋_GB2312"/>
          <w:bCs/>
          <w:kern w:val="0"/>
          <w:sz w:val="32"/>
          <w:szCs w:val="32"/>
        </w:rPr>
        <w:t>市城市管理和综合执法局湖南城陵矶新港区分局、岳阳市固体废物处置服务中心、</w:t>
      </w:r>
      <w:r>
        <w:rPr>
          <w:rFonts w:hint="eastAsia" w:ascii="Times New Roman" w:hAnsi="Times New Roman" w:eastAsia="仿宋_GB2312" w:cs="仿宋_GB2312"/>
          <w:bCs/>
          <w:kern w:val="0"/>
          <w:sz w:val="32"/>
          <w:szCs w:val="32"/>
          <w:lang w:val="en-US" w:eastAsia="zh-CN"/>
        </w:rPr>
        <w:t>岳阳</w:t>
      </w:r>
      <w:r>
        <w:rPr>
          <w:rFonts w:hint="eastAsia" w:ascii="Times New Roman" w:hAnsi="Times New Roman" w:eastAsia="仿宋_GB2312" w:cs="仿宋_GB2312"/>
          <w:bCs/>
          <w:kern w:val="0"/>
          <w:sz w:val="32"/>
          <w:szCs w:val="32"/>
        </w:rPr>
        <w:t>市城市管理综合行政执法支队站场执法大队11个管理单位。</w:t>
      </w:r>
    </w:p>
    <w:p w14:paraId="515703EB">
      <w:pPr>
        <w:pStyle w:val="3"/>
      </w:pPr>
    </w:p>
    <w:p w14:paraId="19B61D66"/>
    <w:p w14:paraId="448A503D">
      <w:pPr>
        <w:pStyle w:val="7"/>
      </w:pPr>
    </w:p>
    <w:p w14:paraId="7098CFB7">
      <w:pPr>
        <w:pStyle w:val="3"/>
      </w:pPr>
    </w:p>
    <w:p w14:paraId="447A52BA"/>
    <w:p w14:paraId="7786FB8C">
      <w:pPr>
        <w:pStyle w:val="7"/>
      </w:pPr>
    </w:p>
    <w:p w14:paraId="56A66259">
      <w:pPr>
        <w:pStyle w:val="3"/>
      </w:pPr>
    </w:p>
    <w:p w14:paraId="2CE1175B"/>
    <w:p w14:paraId="4B1D7D01">
      <w:pPr>
        <w:pStyle w:val="7"/>
      </w:pPr>
    </w:p>
    <w:p w14:paraId="73DCFC39">
      <w:pPr>
        <w:pStyle w:val="3"/>
      </w:pPr>
    </w:p>
    <w:p w14:paraId="17D97896"/>
    <w:p w14:paraId="647CF699">
      <w:pPr>
        <w:pStyle w:val="7"/>
      </w:pPr>
    </w:p>
    <w:p w14:paraId="7A3E02F7">
      <w:pPr>
        <w:pStyle w:val="3"/>
      </w:pPr>
    </w:p>
    <w:p w14:paraId="468AB1CD"/>
    <w:p w14:paraId="3B7F8B25">
      <w:pPr>
        <w:pStyle w:val="7"/>
      </w:pPr>
    </w:p>
    <w:p w14:paraId="3B2BC67B">
      <w:pPr>
        <w:pStyle w:val="3"/>
      </w:pPr>
    </w:p>
    <w:p w14:paraId="5EAD7D76"/>
    <w:p w14:paraId="73CA0F8C">
      <w:pPr>
        <w:pStyle w:val="7"/>
      </w:pPr>
    </w:p>
    <w:p w14:paraId="1DBF6F1D">
      <w:pPr>
        <w:pStyle w:val="3"/>
      </w:pPr>
    </w:p>
    <w:p w14:paraId="3B36438C"/>
    <w:p w14:paraId="51B53AFD">
      <w:pPr>
        <w:pStyle w:val="7"/>
      </w:pPr>
    </w:p>
    <w:p w14:paraId="64C6B5E6">
      <w:pPr>
        <w:pStyle w:val="3"/>
      </w:pPr>
    </w:p>
    <w:p w14:paraId="58D40EDC"/>
    <w:p w14:paraId="69DB08A6">
      <w:pPr>
        <w:pStyle w:val="12"/>
        <w:jc w:val="center"/>
        <w:rPr>
          <w:rFonts w:hint="eastAsia" w:ascii="方正小标宋_GBK" w:hAnsi="方正小标宋_GBK" w:eastAsia="方正小标宋_GBK" w:cs="方正小标宋_GBK"/>
          <w:sz w:val="84"/>
          <w:szCs w:val="84"/>
        </w:rPr>
      </w:pPr>
    </w:p>
    <w:p w14:paraId="400D738D">
      <w:pPr>
        <w:pStyle w:val="12"/>
        <w:jc w:val="center"/>
        <w:rPr>
          <w:rFonts w:hint="eastAsia" w:ascii="方正小标宋_GBK" w:hAnsi="方正小标宋_GBK" w:eastAsia="方正小标宋_GBK" w:cs="方正小标宋_GBK"/>
          <w:sz w:val="84"/>
          <w:szCs w:val="84"/>
        </w:rPr>
      </w:pPr>
    </w:p>
    <w:p w14:paraId="74E26BFF">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16B6CCC0">
      <w:pPr>
        <w:pStyle w:val="12"/>
        <w:jc w:val="center"/>
        <w:rPr>
          <w:rFonts w:hint="eastAsia" w:ascii="方正小标宋_GBK" w:hAnsi="方正小标宋_GBK" w:eastAsia="方正小标宋_GBK" w:cs="方正小标宋_GBK"/>
          <w:sz w:val="84"/>
          <w:szCs w:val="84"/>
        </w:rPr>
      </w:pPr>
    </w:p>
    <w:p w14:paraId="6DA624EA">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4CAD1BC9">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3E36FBA0">
      <w:pPr>
        <w:pStyle w:val="12"/>
        <w:jc w:val="center"/>
        <w:rPr>
          <w:rFonts w:hint="eastAsia" w:ascii="仿宋_GB2312" w:hAnsi="仿宋_GB2312" w:eastAsia="仿宋_GB2312" w:cs="仿宋_GB2312"/>
          <w:b w:val="0"/>
          <w:bCs w:val="0"/>
          <w:sz w:val="72"/>
          <w:szCs w:val="72"/>
          <w:lang w:eastAsia="zh-CN"/>
        </w:rPr>
      </w:pPr>
    </w:p>
    <w:p w14:paraId="721D754B">
      <w:pPr>
        <w:pStyle w:val="12"/>
        <w:jc w:val="center"/>
        <w:rPr>
          <w:rFonts w:hint="eastAsia" w:ascii="仿宋_GB2312" w:hAnsi="仿宋_GB2312" w:eastAsia="仿宋_GB2312" w:cs="仿宋_GB2312"/>
          <w:b w:val="0"/>
          <w:bCs w:val="0"/>
          <w:sz w:val="72"/>
          <w:szCs w:val="72"/>
          <w:lang w:eastAsia="zh-CN"/>
        </w:rPr>
      </w:pPr>
    </w:p>
    <w:p w14:paraId="107B7111">
      <w:pPr>
        <w:pStyle w:val="12"/>
        <w:jc w:val="center"/>
        <w:rPr>
          <w:rFonts w:hint="eastAsia" w:ascii="仿宋_GB2312" w:hAnsi="仿宋_GB2312" w:eastAsia="仿宋_GB2312" w:cs="仿宋_GB2312"/>
          <w:b w:val="0"/>
          <w:bCs w:val="0"/>
          <w:sz w:val="72"/>
          <w:szCs w:val="72"/>
          <w:lang w:eastAsia="zh-CN"/>
        </w:rPr>
      </w:pPr>
    </w:p>
    <w:p w14:paraId="232A5688">
      <w:pPr>
        <w:pStyle w:val="12"/>
        <w:jc w:val="center"/>
        <w:rPr>
          <w:rFonts w:hint="eastAsia" w:ascii="仿宋_GB2312" w:hAnsi="仿宋_GB2312" w:eastAsia="仿宋_GB2312" w:cs="仿宋_GB2312"/>
          <w:b w:val="0"/>
          <w:bCs w:val="0"/>
          <w:sz w:val="72"/>
          <w:szCs w:val="72"/>
          <w:lang w:eastAsia="zh-CN"/>
        </w:rPr>
      </w:pPr>
    </w:p>
    <w:p w14:paraId="40611352">
      <w:pPr>
        <w:pStyle w:val="12"/>
        <w:jc w:val="center"/>
        <w:rPr>
          <w:rFonts w:hint="eastAsia" w:ascii="仿宋_GB2312" w:hAnsi="仿宋_GB2312" w:eastAsia="仿宋_GB2312" w:cs="仿宋_GB2312"/>
          <w:b w:val="0"/>
          <w:bCs w:val="0"/>
          <w:sz w:val="72"/>
          <w:szCs w:val="72"/>
          <w:lang w:eastAsia="zh-CN"/>
        </w:rPr>
      </w:pPr>
    </w:p>
    <w:p w14:paraId="61E6AEC7">
      <w:pPr>
        <w:pStyle w:val="12"/>
        <w:jc w:val="center"/>
        <w:rPr>
          <w:rFonts w:hint="eastAsia" w:ascii="仿宋_GB2312" w:hAnsi="仿宋_GB2312" w:eastAsia="仿宋_GB2312" w:cs="仿宋_GB2312"/>
          <w:b w:val="0"/>
          <w:bCs w:val="0"/>
          <w:sz w:val="72"/>
          <w:szCs w:val="72"/>
          <w:lang w:eastAsia="zh-CN"/>
        </w:rPr>
      </w:pPr>
    </w:p>
    <w:p w14:paraId="19689B2F">
      <w:pPr>
        <w:pStyle w:val="12"/>
        <w:jc w:val="center"/>
        <w:rPr>
          <w:rFonts w:hint="eastAsia" w:ascii="仿宋_GB2312" w:hAnsi="仿宋_GB2312" w:eastAsia="仿宋_GB2312" w:cs="仿宋_GB2312"/>
          <w:b w:val="0"/>
          <w:bCs w:val="0"/>
          <w:sz w:val="72"/>
          <w:szCs w:val="72"/>
          <w:lang w:eastAsia="zh-CN"/>
        </w:rPr>
      </w:pPr>
    </w:p>
    <w:p w14:paraId="0343F647">
      <w:pPr>
        <w:pStyle w:val="12"/>
        <w:jc w:val="center"/>
        <w:rPr>
          <w:rFonts w:hint="eastAsia" w:ascii="方正小标宋_GBK" w:hAnsi="方正小标宋_GBK" w:eastAsia="方正小标宋_GBK" w:cs="方正小标宋_GBK"/>
          <w:sz w:val="72"/>
          <w:szCs w:val="72"/>
        </w:rPr>
      </w:pPr>
    </w:p>
    <w:p w14:paraId="4CFE045F">
      <w:pPr>
        <w:pStyle w:val="12"/>
        <w:jc w:val="center"/>
        <w:rPr>
          <w:rFonts w:hint="eastAsia" w:ascii="方正小标宋_GBK" w:hAnsi="方正小标宋_GBK" w:eastAsia="方正小标宋_GBK" w:cs="方正小标宋_GBK"/>
          <w:sz w:val="72"/>
          <w:szCs w:val="72"/>
        </w:rPr>
      </w:pPr>
    </w:p>
    <w:p w14:paraId="64C47180">
      <w:pPr>
        <w:pStyle w:val="12"/>
        <w:jc w:val="both"/>
        <w:rPr>
          <w:rFonts w:hint="eastAsia" w:ascii="方正小标宋_GBK" w:hAnsi="方正小标宋_GBK" w:eastAsia="方正小标宋_GBK" w:cs="方正小标宋_GBK"/>
          <w:sz w:val="72"/>
          <w:szCs w:val="72"/>
        </w:rPr>
      </w:pPr>
    </w:p>
    <w:p w14:paraId="67E3C064">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3C588769">
      <w:pPr>
        <w:pStyle w:val="12"/>
        <w:jc w:val="center"/>
        <w:rPr>
          <w:rFonts w:hint="eastAsia" w:ascii="方正小标宋_GBK" w:hAnsi="方正小标宋_GBK" w:eastAsia="方正小标宋_GBK" w:cs="方正小标宋_GBK"/>
          <w:sz w:val="70"/>
          <w:szCs w:val="70"/>
        </w:rPr>
      </w:pPr>
    </w:p>
    <w:p w14:paraId="4D972865">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75E97703">
      <w:pPr>
        <w:pStyle w:val="12"/>
        <w:jc w:val="center"/>
        <w:rPr>
          <w:rFonts w:hint="eastAsia" w:ascii="方正小标宋_GBK" w:hAnsi="方正小标宋_GBK" w:eastAsia="方正小标宋_GBK" w:cs="方正小标宋_GBK"/>
          <w:sz w:val="70"/>
          <w:szCs w:val="70"/>
        </w:rPr>
      </w:pPr>
    </w:p>
    <w:p w14:paraId="46F226B9">
      <w:pPr>
        <w:pStyle w:val="12"/>
        <w:jc w:val="center"/>
        <w:rPr>
          <w:rFonts w:hint="eastAsia" w:ascii="方正小标宋_GBK" w:hAnsi="方正小标宋_GBK" w:eastAsia="方正小标宋_GBK" w:cs="方正小标宋_GBK"/>
          <w:sz w:val="70"/>
          <w:szCs w:val="70"/>
        </w:rPr>
      </w:pPr>
    </w:p>
    <w:p w14:paraId="446E5EFE">
      <w:pPr>
        <w:pStyle w:val="12"/>
        <w:jc w:val="center"/>
        <w:rPr>
          <w:rFonts w:hint="eastAsia" w:ascii="方正小标宋_GBK" w:hAnsi="方正小标宋_GBK" w:eastAsia="方正小标宋_GBK" w:cs="方正小标宋_GBK"/>
          <w:sz w:val="70"/>
          <w:szCs w:val="70"/>
        </w:rPr>
      </w:pPr>
    </w:p>
    <w:p w14:paraId="035A9048">
      <w:pPr>
        <w:pStyle w:val="12"/>
        <w:jc w:val="both"/>
        <w:rPr>
          <w:rFonts w:hint="eastAsia" w:ascii="方正小标宋_GBK" w:hAnsi="方正小标宋_GBK" w:eastAsia="方正小标宋_GBK" w:cs="方正小标宋_GBK"/>
          <w:sz w:val="70"/>
          <w:szCs w:val="70"/>
        </w:rPr>
      </w:pPr>
    </w:p>
    <w:p w14:paraId="08061A7E">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52C4E2B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1CAE012F">
      <w:pPr>
        <w:widowControl w:val="0"/>
        <w:autoSpaceDE w:val="0"/>
        <w:autoSpaceDN w:val="0"/>
        <w:adjustRightInd w:val="0"/>
        <w:ind w:firstLine="640" w:firstLineChars="200"/>
        <w:rPr>
          <w:rFonts w:hint="eastAsia" w:ascii="仿宋_GB2312" w:hAnsi="仿宋_GB2312" w:eastAsia="仿宋_GB2312" w:cs="仿宋_GB2312"/>
          <w:i/>
          <w:iCs/>
          <w:color w:val="000000"/>
          <w:kern w:val="0"/>
          <w:sz w:val="32"/>
          <w:szCs w:val="32"/>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度收、支总计52338.99万元。与上年相比，增加17067.05万元，增长</w:t>
      </w:r>
      <w:r>
        <w:rPr>
          <w:rFonts w:hint="eastAsia" w:ascii="仿宋_GB2312" w:hAnsi="仿宋_GB2312" w:eastAsia="仿宋_GB2312" w:cs="仿宋_GB2312"/>
          <w:sz w:val="32"/>
          <w:szCs w:val="32"/>
          <w:lang w:val="en-US" w:eastAsia="zh-CN"/>
        </w:rPr>
        <w:t>48.39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第四届湖南旅游发展大会</w:t>
      </w:r>
      <w:r>
        <w:rPr>
          <w:rFonts w:hint="eastAsia" w:ascii="仿宋_GB2312" w:hAnsi="仿宋_GB2312" w:eastAsia="仿宋_GB2312" w:cs="仿宋_GB2312"/>
          <w:sz w:val="32"/>
          <w:szCs w:val="32"/>
        </w:rPr>
        <w:t>专项经费增加。</w:t>
      </w:r>
    </w:p>
    <w:p w14:paraId="450E4A3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602DEC7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度收入合计52297.86万元，其中：财政拨款收入50541.09万元，占</w:t>
      </w:r>
      <w:r>
        <w:rPr>
          <w:rFonts w:hint="eastAsia" w:ascii="仿宋_GB2312" w:hAnsi="仿宋_GB2312" w:eastAsia="仿宋_GB2312" w:cs="仿宋_GB2312"/>
          <w:sz w:val="32"/>
          <w:szCs w:val="32"/>
          <w:lang w:val="en-US" w:eastAsia="zh-CN"/>
        </w:rPr>
        <w:t>96.64</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%；其他收入1756.77万元，占</w:t>
      </w:r>
      <w:r>
        <w:rPr>
          <w:rFonts w:hint="eastAsia" w:ascii="仿宋_GB2312" w:hAnsi="仿宋_GB2312" w:eastAsia="仿宋_GB2312" w:cs="仿宋_GB2312"/>
          <w:sz w:val="32"/>
          <w:szCs w:val="32"/>
          <w:lang w:val="en-US" w:eastAsia="zh-CN"/>
        </w:rPr>
        <w:t>3.36</w:t>
      </w:r>
      <w:r>
        <w:rPr>
          <w:rFonts w:hint="eastAsia" w:ascii="仿宋_GB2312" w:hAnsi="仿宋_GB2312" w:eastAsia="仿宋_GB2312" w:cs="仿宋_GB2312"/>
          <w:sz w:val="32"/>
          <w:szCs w:val="32"/>
        </w:rPr>
        <w:t>%。</w:t>
      </w:r>
    </w:p>
    <w:p w14:paraId="2E13624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0BF144C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度支出合计52195.31万元，其中：基本支出16963.09万元，占</w:t>
      </w:r>
      <w:r>
        <w:rPr>
          <w:rFonts w:hint="eastAsia" w:ascii="仿宋_GB2312" w:hAnsi="仿宋_GB2312" w:eastAsia="仿宋_GB2312" w:cs="仿宋_GB2312"/>
          <w:sz w:val="32"/>
          <w:szCs w:val="32"/>
          <w:lang w:val="en-US" w:eastAsia="zh-CN"/>
        </w:rPr>
        <w:t>32.50</w:t>
      </w:r>
      <w:r>
        <w:rPr>
          <w:rFonts w:hint="eastAsia" w:ascii="仿宋_GB2312" w:hAnsi="仿宋_GB2312" w:eastAsia="仿宋_GB2312" w:cs="仿宋_GB2312"/>
          <w:sz w:val="32"/>
          <w:szCs w:val="32"/>
        </w:rPr>
        <w:t>%；项目支出35232.22万元，占</w:t>
      </w:r>
      <w:r>
        <w:rPr>
          <w:rFonts w:hint="eastAsia" w:ascii="仿宋_GB2312" w:hAnsi="仿宋_GB2312" w:eastAsia="仿宋_GB2312" w:cs="仿宋_GB2312"/>
          <w:sz w:val="32"/>
          <w:szCs w:val="32"/>
          <w:lang w:val="en-US" w:eastAsia="zh-CN"/>
        </w:rPr>
        <w:t>67.50</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53B27E5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13AEEEB9">
      <w:pPr>
        <w:pStyle w:val="12"/>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度财政拨款收、支总计50541.09万元，与上年相比，增加17344.12万元,增长</w:t>
      </w:r>
      <w:r>
        <w:rPr>
          <w:rFonts w:hint="eastAsia" w:ascii="仿宋_GB2312" w:hAnsi="仿宋_GB2312" w:eastAsia="仿宋_GB2312" w:cs="仿宋_GB2312"/>
          <w:sz w:val="32"/>
          <w:szCs w:val="32"/>
          <w:lang w:val="en-US" w:eastAsia="zh-CN"/>
        </w:rPr>
        <w:t>52.25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第四届湖南旅游发展大会</w:t>
      </w:r>
      <w:r>
        <w:rPr>
          <w:rFonts w:hint="eastAsia" w:ascii="Times New Roman" w:hAnsi="Times New Roman" w:eastAsia="仿宋_GB2312" w:cs="Times New Roman"/>
          <w:color w:val="000000"/>
          <w:kern w:val="0"/>
          <w:sz w:val="32"/>
          <w:szCs w:val="32"/>
          <w:lang w:val="en-US" w:eastAsia="zh-CN" w:bidi="ar-SA"/>
        </w:rPr>
        <w:t>专项经费增加。</w:t>
      </w:r>
    </w:p>
    <w:p w14:paraId="1781C68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2DB82E7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2182804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度财政拨款支出44953.57万元，占本年支出合计的</w:t>
      </w:r>
      <w:r>
        <w:rPr>
          <w:rFonts w:hint="eastAsia" w:ascii="仿宋_GB2312" w:hAnsi="仿宋_GB2312" w:eastAsia="仿宋_GB2312" w:cs="仿宋_GB2312"/>
          <w:sz w:val="32"/>
          <w:szCs w:val="32"/>
          <w:lang w:val="en-US" w:eastAsia="zh-CN"/>
        </w:rPr>
        <w:t>86.13</w:t>
      </w:r>
      <w:r>
        <w:rPr>
          <w:rFonts w:hint="eastAsia" w:ascii="仿宋_GB2312" w:hAnsi="仿宋_GB2312" w:eastAsia="仿宋_GB2312" w:cs="仿宋_GB2312"/>
          <w:sz w:val="32"/>
          <w:szCs w:val="32"/>
        </w:rPr>
        <w:t>%，与上年相比，财政拨款支出增加14220.33万元，增长</w:t>
      </w:r>
      <w:r>
        <w:rPr>
          <w:rFonts w:hint="eastAsia" w:ascii="仿宋_GB2312" w:hAnsi="仿宋_GB2312" w:eastAsia="仿宋_GB2312" w:cs="仿宋_GB2312"/>
          <w:sz w:val="32"/>
          <w:szCs w:val="32"/>
          <w:lang w:val="en-US" w:eastAsia="zh-CN"/>
        </w:rPr>
        <w:t>46.27</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第四届湖南旅游发展大会</w:t>
      </w:r>
      <w:r>
        <w:rPr>
          <w:rFonts w:hint="eastAsia" w:ascii="Times New Roman" w:hAnsi="Times New Roman" w:eastAsia="仿宋_GB2312" w:cs="Times New Roman"/>
          <w:color w:val="000000"/>
          <w:kern w:val="0"/>
          <w:sz w:val="32"/>
          <w:szCs w:val="32"/>
          <w:lang w:val="en-US" w:eastAsia="zh-CN" w:bidi="ar-SA"/>
        </w:rPr>
        <w:t>专项经费增加。</w:t>
      </w:r>
    </w:p>
    <w:p w14:paraId="756A1D4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00A60CF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度财政拨款支出44953.57万元，</w:t>
      </w:r>
      <w:r>
        <w:rPr>
          <w:rFonts w:hint="eastAsia" w:ascii="仿宋_GB2312" w:hAnsi="仿宋_GB2312" w:eastAsia="仿宋_GB2312" w:cs="仿宋_GB2312"/>
          <w:sz w:val="32"/>
          <w:szCs w:val="32"/>
          <w:lang w:eastAsia="zh-CN"/>
        </w:rPr>
        <w:t>主要用于以下方面：</w:t>
      </w:r>
      <w:r>
        <w:rPr>
          <w:rFonts w:hint="eastAsia" w:ascii="仿宋_GB2312" w:hAnsi="仿宋_GB2312" w:eastAsia="仿宋_GB2312" w:cs="仿宋_GB2312"/>
          <w:sz w:val="32"/>
          <w:szCs w:val="32"/>
          <w:lang w:val="en-US" w:eastAsia="zh-CN"/>
        </w:rPr>
        <w:t>社会保障和就业（类）支出1511.59万元，占3.36%；卫生健康（类）支出539.42万元，占1.20%；节能环保（类）支出610.87万元，占1.36%；城乡社区（类）支出32285.69万元，占71.82%；交通运输（类）支出2319.41万元，占5.16%；住房保障（类）支出967.36万元，占2.15%；其他（类）支出6719.23万元，占14.95%。</w:t>
      </w:r>
    </w:p>
    <w:p w14:paraId="3740E08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7243F6D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17692.76</w:t>
      </w:r>
      <w:r>
        <w:rPr>
          <w:rFonts w:hint="eastAsia" w:ascii="仿宋_GB2312" w:hAnsi="仿宋_GB2312" w:eastAsia="仿宋_GB2312" w:cs="仿宋_GB2312"/>
          <w:sz w:val="32"/>
          <w:szCs w:val="32"/>
        </w:rPr>
        <w:t>万元，支出决算数为44953.57万元，完成年初预算的</w:t>
      </w:r>
      <w:r>
        <w:rPr>
          <w:rFonts w:hint="eastAsia" w:ascii="仿宋_GB2312" w:hAnsi="仿宋_GB2312" w:eastAsia="仿宋_GB2312" w:cs="仿宋_GB2312"/>
          <w:sz w:val="32"/>
          <w:szCs w:val="32"/>
          <w:lang w:val="en-US" w:eastAsia="zh-CN"/>
        </w:rPr>
        <w:t>254.08</w:t>
      </w:r>
      <w:r>
        <w:rPr>
          <w:rFonts w:hint="eastAsia" w:ascii="仿宋_GB2312" w:hAnsi="仿宋_GB2312" w:eastAsia="仿宋_GB2312" w:cs="仿宋_GB2312"/>
          <w:sz w:val="32"/>
          <w:szCs w:val="32"/>
        </w:rPr>
        <w:t>%，其中：</w:t>
      </w:r>
    </w:p>
    <w:p w14:paraId="2A246BF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1、社会保障和就业支出（类）行政事业单位养老支出（款）机关事业单位基本养老保险缴费支出（项）。</w:t>
      </w:r>
    </w:p>
    <w:p w14:paraId="0FA309C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1365.21</w:t>
      </w:r>
      <w:r>
        <w:rPr>
          <w:rFonts w:hint="eastAsia" w:ascii="仿宋_GB2312" w:hAnsi="仿宋_GB2312" w:eastAsia="仿宋_GB2312" w:cs="仿宋_GB2312"/>
          <w:sz w:val="32"/>
          <w:szCs w:val="32"/>
        </w:rPr>
        <w:t>万元，支出决算为1354.74万元，完成年初预算的</w:t>
      </w:r>
      <w:r>
        <w:rPr>
          <w:rFonts w:hint="eastAsia" w:ascii="仿宋_GB2312" w:hAnsi="仿宋_GB2312" w:eastAsia="仿宋_GB2312" w:cs="仿宋_GB2312"/>
          <w:sz w:val="32"/>
          <w:szCs w:val="32"/>
          <w:lang w:val="en-US" w:eastAsia="zh-CN"/>
        </w:rPr>
        <w:t>99.23</w:t>
      </w:r>
      <w:r>
        <w:rPr>
          <w:rFonts w:hint="eastAsia" w:ascii="仿宋_GB2312" w:hAnsi="仿宋_GB2312" w:eastAsia="仿宋_GB2312" w:cs="仿宋_GB2312"/>
          <w:sz w:val="32"/>
          <w:szCs w:val="32"/>
        </w:rPr>
        <w:t>%，决算数小于年初预算数的主要原因是：人员变动导致预算调整。</w:t>
      </w:r>
    </w:p>
    <w:p w14:paraId="4C8258A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、社会保障和就业支出（类）抚恤（款）其他优抚支出（项）。</w:t>
      </w:r>
    </w:p>
    <w:p w14:paraId="14B1C2B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年初预算为0万元，支出决算为41.54万元，决算数大于年初预算数的主要原因是：年中追加预算。</w:t>
      </w:r>
    </w:p>
    <w:p w14:paraId="410B6A4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、社会保障和就业支出（类）退役安置（款）军队转业干部安置（项）。</w:t>
      </w:r>
    </w:p>
    <w:p w14:paraId="0598D5C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年初预算为0万元，支出决算为0.75万元，决算数大于年初预算数的主要原因是：年中追加预算。</w:t>
      </w:r>
    </w:p>
    <w:p w14:paraId="21140DD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、社会保障和就业支出（类）退役安置（款）其他退役安置支出（项）。</w:t>
      </w:r>
    </w:p>
    <w:p w14:paraId="4210178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年初预算为0万元，支出决算为0.33万元，决算数大于年初预算数的主要原因是：年中追加预算。</w:t>
      </w:r>
    </w:p>
    <w:p w14:paraId="180B40B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、社会保障和就业支出（类）残疾人事业（款）其他残疾人事业支出（项）。</w:t>
      </w:r>
    </w:p>
    <w:p w14:paraId="0F41A83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55.12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55.12</w:t>
      </w:r>
      <w:r>
        <w:rPr>
          <w:rFonts w:hint="eastAsia" w:ascii="仿宋_GB2312" w:hAnsi="仿宋_GB2312" w:eastAsia="仿宋_GB2312" w:cs="仿宋_GB2312"/>
          <w:sz w:val="32"/>
          <w:szCs w:val="32"/>
        </w:rPr>
        <w:t>万元，完成年初预算的100%，决算数等于年初预算数的主要原因是：严格按预算执行决算。</w:t>
      </w:r>
    </w:p>
    <w:p w14:paraId="6DC3824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、社会保障和就业支出（类）其他社会保障和就业支出（款）其他社会保障和就业支出（项）。</w:t>
      </w:r>
    </w:p>
    <w:p w14:paraId="6F53AE5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33.51</w:t>
      </w:r>
      <w:r>
        <w:rPr>
          <w:rFonts w:hint="eastAsia" w:ascii="仿宋_GB2312" w:hAnsi="仿宋_GB2312" w:eastAsia="仿宋_GB2312" w:cs="仿宋_GB2312"/>
          <w:sz w:val="32"/>
          <w:szCs w:val="32"/>
        </w:rPr>
        <w:t>万元，支出决算为59.11万元，完成年初预算的</w:t>
      </w:r>
      <w:r>
        <w:rPr>
          <w:rFonts w:hint="eastAsia" w:ascii="仿宋_GB2312" w:hAnsi="仿宋_GB2312" w:eastAsia="仿宋_GB2312" w:cs="仿宋_GB2312"/>
          <w:sz w:val="32"/>
          <w:szCs w:val="32"/>
          <w:lang w:val="en-US" w:eastAsia="zh-CN"/>
        </w:rPr>
        <w:t>176.40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rPr>
        <w:t>决算数大于年初预算数的主要原因是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年中追加预算。</w:t>
      </w:r>
    </w:p>
    <w:p w14:paraId="1FB4CC9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卫生健康支出（类）行政事业单位医疗（款）行政单位医疗（项）。</w:t>
      </w:r>
    </w:p>
    <w:p w14:paraId="1673B67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年初预算为414.59万元，支出决算为446.59万元，完成年初预算的</w:t>
      </w:r>
      <w:r>
        <w:rPr>
          <w:rFonts w:hint="eastAsia" w:ascii="仿宋_GB2312" w:hAnsi="仿宋_GB2312" w:eastAsia="仿宋_GB2312" w:cs="仿宋_GB2312"/>
          <w:sz w:val="32"/>
          <w:szCs w:val="32"/>
          <w:highlight w:val="none"/>
          <w:lang w:val="en-US" w:eastAsia="zh-CN"/>
        </w:rPr>
        <w:t>107.72</w:t>
      </w:r>
      <w:r>
        <w:rPr>
          <w:rFonts w:hint="eastAsia" w:ascii="仿宋_GB2312" w:hAnsi="仿宋_GB2312" w:eastAsia="仿宋_GB2312" w:cs="仿宋_GB2312"/>
          <w:sz w:val="32"/>
          <w:szCs w:val="32"/>
          <w:highlight w:val="none"/>
        </w:rPr>
        <w:t>%，决算数</w:t>
      </w:r>
      <w:r>
        <w:rPr>
          <w:rFonts w:hint="eastAsia" w:ascii="仿宋_GB2312" w:hAnsi="仿宋_GB2312" w:eastAsia="仿宋_GB2312" w:cs="仿宋_GB2312"/>
          <w:sz w:val="32"/>
          <w:szCs w:val="32"/>
          <w:highlight w:val="none"/>
          <w:lang w:val="en-US" w:eastAsia="zh-CN"/>
        </w:rPr>
        <w:t>大</w:t>
      </w:r>
      <w:r>
        <w:rPr>
          <w:rFonts w:hint="eastAsia" w:ascii="仿宋_GB2312" w:hAnsi="仿宋_GB2312" w:eastAsia="仿宋_GB2312" w:cs="仿宋_GB2312"/>
          <w:sz w:val="32"/>
          <w:szCs w:val="32"/>
          <w:highlight w:val="none"/>
        </w:rPr>
        <w:t>于年初预算数的主要原因是：</w:t>
      </w:r>
      <w:r>
        <w:rPr>
          <w:rFonts w:hint="eastAsia" w:ascii="仿宋_GB2312" w:hAnsi="仿宋_GB2312" w:eastAsia="仿宋_GB2312" w:cs="仿宋_GB2312"/>
          <w:sz w:val="32"/>
          <w:szCs w:val="32"/>
        </w:rPr>
        <w:t>人员变动导致预算调整</w:t>
      </w:r>
      <w:r>
        <w:rPr>
          <w:rFonts w:hint="eastAsia" w:ascii="仿宋_GB2312" w:hAnsi="仿宋_GB2312" w:eastAsia="仿宋_GB2312" w:cs="仿宋_GB2312"/>
          <w:sz w:val="32"/>
          <w:szCs w:val="32"/>
          <w:highlight w:val="none"/>
        </w:rPr>
        <w:t>。</w:t>
      </w:r>
    </w:p>
    <w:p w14:paraId="2BB48C9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、卫生健康支出（类）行政事业单位医疗（款）事业单位医疗（项）。</w:t>
      </w:r>
    </w:p>
    <w:p w14:paraId="6113F3E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92.83</w:t>
      </w:r>
      <w:r>
        <w:rPr>
          <w:rFonts w:hint="eastAsia" w:ascii="仿宋_GB2312" w:hAnsi="仿宋_GB2312" w:eastAsia="仿宋_GB2312" w:cs="仿宋_GB2312"/>
          <w:sz w:val="32"/>
          <w:szCs w:val="32"/>
          <w:highlight w:val="none"/>
        </w:rPr>
        <w:t>万元，支出决算为92.83万元，完成年初预算的100%，决算数等于年初预算数的主要原因是：严格按预算执行决算。</w:t>
      </w:r>
    </w:p>
    <w:p w14:paraId="10CA358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节能环保支出（类）污染防治（款）水体（项）。</w:t>
      </w:r>
    </w:p>
    <w:p w14:paraId="0D88BB1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年初预算为0万元，支出决算为220.6</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万元，决算数大于年初预算数的主要原因是：年中追加预算。</w:t>
      </w:r>
    </w:p>
    <w:p w14:paraId="186B140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、节能环保支出（类）自然生态保护（款）生态保护（项）。</w:t>
      </w:r>
    </w:p>
    <w:p w14:paraId="397EE16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年初预算为0万元，支出决算为390.27万元，决算数大于年初预算数的主要原因是：年中追加预算。</w:t>
      </w:r>
    </w:p>
    <w:p w14:paraId="70127CF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highlight w:val="none"/>
        </w:rPr>
        <w:t>城乡社区支出（类）城乡社区管理事务（款）行政运行（项）。</w:t>
      </w:r>
    </w:p>
    <w:p w14:paraId="1385739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4945.68</w:t>
      </w:r>
      <w:r>
        <w:rPr>
          <w:rFonts w:hint="eastAsia" w:ascii="仿宋_GB2312" w:hAnsi="仿宋_GB2312" w:eastAsia="仿宋_GB2312" w:cs="仿宋_GB2312"/>
          <w:sz w:val="32"/>
          <w:szCs w:val="32"/>
          <w:highlight w:val="none"/>
        </w:rPr>
        <w:t>万元，支出决算为6582.21万元，完成年初预算的</w:t>
      </w:r>
      <w:r>
        <w:rPr>
          <w:rFonts w:hint="eastAsia" w:ascii="仿宋_GB2312" w:hAnsi="仿宋_GB2312" w:eastAsia="仿宋_GB2312" w:cs="仿宋_GB2312"/>
          <w:sz w:val="32"/>
          <w:szCs w:val="32"/>
          <w:highlight w:val="none"/>
          <w:lang w:val="en-US" w:eastAsia="zh-CN"/>
        </w:rPr>
        <w:t>133.09</w:t>
      </w:r>
      <w:r>
        <w:rPr>
          <w:rFonts w:hint="eastAsia" w:ascii="仿宋_GB2312" w:hAnsi="仿宋_GB2312" w:eastAsia="仿宋_GB2312" w:cs="仿宋_GB2312"/>
          <w:sz w:val="32"/>
          <w:szCs w:val="32"/>
          <w:highlight w:val="none"/>
        </w:rPr>
        <w:t>%，决算数大于年初预算数的主要原因是：年中追加预算。</w:t>
      </w:r>
    </w:p>
    <w:p w14:paraId="5C932B1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、城乡社区支出（类）城乡社区管理事务（款）一般行政管理事务（项）。</w:t>
      </w:r>
    </w:p>
    <w:p w14:paraId="656A8A4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万元，支出决算为187.18万元，决算数大于年初预算数的主要原因是：年中追加预算。</w:t>
      </w:r>
    </w:p>
    <w:p w14:paraId="7AE27E1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、城乡社区支出（类）城乡社区管理事务（款）城管执法（项）。</w:t>
      </w:r>
    </w:p>
    <w:p w14:paraId="63D8F58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年初预算为6597.78万元，支出决算为5611.65万元，完成年初预算的</w:t>
      </w:r>
      <w:r>
        <w:rPr>
          <w:rFonts w:hint="eastAsia" w:ascii="仿宋_GB2312" w:hAnsi="仿宋_GB2312" w:eastAsia="仿宋_GB2312" w:cs="仿宋_GB2312"/>
          <w:sz w:val="32"/>
          <w:szCs w:val="32"/>
          <w:highlight w:val="none"/>
          <w:lang w:val="en-US" w:eastAsia="zh-CN"/>
        </w:rPr>
        <w:t>85</w:t>
      </w:r>
      <w:r>
        <w:rPr>
          <w:rFonts w:hint="eastAsia" w:ascii="仿宋_GB2312" w:hAnsi="仿宋_GB2312" w:eastAsia="仿宋_GB2312" w:cs="仿宋_GB2312"/>
          <w:sz w:val="32"/>
          <w:szCs w:val="32"/>
          <w:highlight w:val="none"/>
        </w:rPr>
        <w:t>.05%，决算数</w:t>
      </w:r>
      <w:r>
        <w:rPr>
          <w:rFonts w:hint="eastAsia" w:ascii="仿宋_GB2312" w:hAnsi="仿宋_GB2312" w:eastAsia="仿宋_GB2312" w:cs="仿宋_GB2312"/>
          <w:sz w:val="32"/>
          <w:szCs w:val="32"/>
          <w:highlight w:val="none"/>
          <w:lang w:val="en-US" w:eastAsia="zh-CN"/>
        </w:rPr>
        <w:t>小于</w:t>
      </w:r>
      <w:r>
        <w:rPr>
          <w:rFonts w:hint="eastAsia" w:ascii="仿宋_GB2312" w:hAnsi="仿宋_GB2312" w:eastAsia="仿宋_GB2312" w:cs="仿宋_GB2312"/>
          <w:sz w:val="32"/>
          <w:szCs w:val="32"/>
          <w:highlight w:val="none"/>
        </w:rPr>
        <w:t>年初预算数的主要原因是：</w:t>
      </w:r>
      <w:r>
        <w:rPr>
          <w:rFonts w:hint="eastAsia" w:ascii="仿宋_GB2312" w:hAnsi="仿宋_GB2312" w:eastAsia="仿宋_GB2312" w:cs="仿宋_GB2312"/>
          <w:sz w:val="32"/>
          <w:szCs w:val="32"/>
          <w:highlight w:val="none"/>
          <w:lang w:val="en-US" w:eastAsia="zh-CN"/>
        </w:rPr>
        <w:t>决算部分计入行政运行、城乡社区规划与管理、其他城乡社区支出</w:t>
      </w:r>
      <w:r>
        <w:rPr>
          <w:rFonts w:hint="eastAsia" w:ascii="仿宋_GB2312" w:hAnsi="仿宋_GB2312" w:eastAsia="仿宋_GB2312" w:cs="仿宋_GB2312"/>
          <w:sz w:val="32"/>
          <w:szCs w:val="32"/>
          <w:highlight w:val="none"/>
        </w:rPr>
        <w:t>。</w:t>
      </w:r>
    </w:p>
    <w:p w14:paraId="16C3DE0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、城乡社区支出（类）城乡社区管理事务（款）其他城乡社区管理事务支出（项）。</w:t>
      </w:r>
    </w:p>
    <w:p w14:paraId="46B24AA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72.10</w:t>
      </w:r>
      <w:r>
        <w:rPr>
          <w:rFonts w:hint="eastAsia" w:ascii="仿宋_GB2312" w:hAnsi="仿宋_GB2312" w:eastAsia="仿宋_GB2312" w:cs="仿宋_GB2312"/>
          <w:sz w:val="32"/>
          <w:szCs w:val="32"/>
          <w:highlight w:val="none"/>
        </w:rPr>
        <w:t>万元，支出决算为2532.79万元，完成年初预算的</w:t>
      </w:r>
      <w:r>
        <w:rPr>
          <w:rFonts w:hint="eastAsia" w:ascii="仿宋_GB2312" w:hAnsi="仿宋_GB2312" w:eastAsia="仿宋_GB2312" w:cs="仿宋_GB2312"/>
          <w:sz w:val="32"/>
          <w:szCs w:val="32"/>
          <w:highlight w:val="none"/>
          <w:lang w:val="en-US" w:eastAsia="zh-CN"/>
        </w:rPr>
        <w:t>3512.88</w:t>
      </w:r>
      <w:r>
        <w:rPr>
          <w:rFonts w:hint="eastAsia" w:ascii="仿宋_GB2312" w:hAnsi="仿宋_GB2312" w:eastAsia="仿宋_GB2312" w:cs="仿宋_GB2312"/>
          <w:sz w:val="32"/>
          <w:szCs w:val="32"/>
          <w:highlight w:val="none"/>
        </w:rPr>
        <w:t>%，决算数大于年初预算数的主要原因是：年中追加预算。</w:t>
      </w:r>
    </w:p>
    <w:p w14:paraId="57516F7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15、城乡社区支出（类）城乡社区规划与管理（款）城乡社区规划与管理（项）。</w:t>
      </w:r>
    </w:p>
    <w:p w14:paraId="629D420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3026.67</w:t>
      </w:r>
      <w:r>
        <w:rPr>
          <w:rFonts w:hint="eastAsia" w:ascii="仿宋_GB2312" w:hAnsi="仿宋_GB2312" w:eastAsia="仿宋_GB2312" w:cs="仿宋_GB2312"/>
          <w:sz w:val="32"/>
          <w:szCs w:val="32"/>
          <w:highlight w:val="none"/>
        </w:rPr>
        <w:t>万元，支出决算为10493.14万元，完成年初预算的</w:t>
      </w:r>
      <w:r>
        <w:rPr>
          <w:rFonts w:hint="eastAsia" w:ascii="仿宋_GB2312" w:hAnsi="仿宋_GB2312" w:eastAsia="仿宋_GB2312" w:cs="仿宋_GB2312"/>
          <w:sz w:val="32"/>
          <w:szCs w:val="32"/>
          <w:highlight w:val="none"/>
          <w:lang w:val="en-US" w:eastAsia="zh-CN"/>
        </w:rPr>
        <w:t>346.69</w:t>
      </w:r>
      <w:r>
        <w:rPr>
          <w:rFonts w:hint="eastAsia" w:ascii="仿宋_GB2312" w:hAnsi="仿宋_GB2312" w:eastAsia="仿宋_GB2312" w:cs="仿宋_GB2312"/>
          <w:sz w:val="32"/>
          <w:szCs w:val="32"/>
          <w:highlight w:val="none"/>
        </w:rPr>
        <w:t>%，决算数大于年初预算数的主要原因是：年中追加预算。</w:t>
      </w:r>
    </w:p>
    <w:p w14:paraId="5F5EAC0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16、城乡社区支出（类）城乡社区公共设施（款）小城镇基础设施建设（项）。</w:t>
      </w:r>
    </w:p>
    <w:p w14:paraId="776B079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年初预算为0万元，支出决算为5.22万元，决算数大于年初预算数的主要原因是：年中追加预算。</w:t>
      </w:r>
    </w:p>
    <w:p w14:paraId="2081175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17、城乡社区支出（类）城乡社区公共设施（款）其他城乡社区公共设施支出（项）。</w:t>
      </w:r>
    </w:p>
    <w:p w14:paraId="0B25C8B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年初预算为0万元，支出决算为5123.46万元，决算数大于年初预算数的主要原因是：年中追加预算。</w:t>
      </w:r>
    </w:p>
    <w:p w14:paraId="4151056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18、城乡社区支出（类）其他城乡社区支出（款）其他城乡社区支出（项）。</w:t>
      </w:r>
    </w:p>
    <w:p w14:paraId="6CA383B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35</w:t>
      </w:r>
      <w:r>
        <w:rPr>
          <w:rFonts w:hint="eastAsia" w:ascii="仿宋_GB2312" w:hAnsi="仿宋_GB2312" w:eastAsia="仿宋_GB2312" w:cs="仿宋_GB2312"/>
          <w:sz w:val="32"/>
          <w:szCs w:val="32"/>
          <w:highlight w:val="none"/>
        </w:rPr>
        <w:t>万元，支出决算为1750.04万元，完成年初预算的</w:t>
      </w:r>
      <w:r>
        <w:rPr>
          <w:rFonts w:hint="eastAsia" w:ascii="仿宋_GB2312" w:hAnsi="仿宋_GB2312" w:eastAsia="仿宋_GB2312" w:cs="仿宋_GB2312"/>
          <w:sz w:val="32"/>
          <w:szCs w:val="32"/>
          <w:highlight w:val="none"/>
          <w:lang w:val="en-US" w:eastAsia="zh-CN"/>
        </w:rPr>
        <w:t>5000.11</w:t>
      </w:r>
      <w:r>
        <w:rPr>
          <w:rFonts w:hint="eastAsia" w:ascii="仿宋_GB2312" w:hAnsi="仿宋_GB2312" w:eastAsia="仿宋_GB2312" w:cs="仿宋_GB2312"/>
          <w:sz w:val="32"/>
          <w:szCs w:val="32"/>
          <w:highlight w:val="none"/>
        </w:rPr>
        <w:t>%，决算数大于年初预算数的主要原因是：年中追加预算。</w:t>
      </w:r>
    </w:p>
    <w:p w14:paraId="58E83BAF">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、交通运输支出（类）公路水路运输（款）其他公路水路运输支出（项）。</w:t>
      </w:r>
    </w:p>
    <w:p w14:paraId="38D4B33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万元，支出决算为2319.41万元，决算数大于年初预算数的主要原因是：年中追加预算。</w:t>
      </w:r>
    </w:p>
    <w:p w14:paraId="1567AAD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、住房保障支出（类）住房改革支出（款）住房公积金（项）。</w:t>
      </w:r>
    </w:p>
    <w:p w14:paraId="2EAA765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984.50</w:t>
      </w:r>
      <w:r>
        <w:rPr>
          <w:rFonts w:hint="eastAsia" w:ascii="仿宋_GB2312" w:hAnsi="仿宋_GB2312" w:eastAsia="仿宋_GB2312" w:cs="仿宋_GB2312"/>
          <w:sz w:val="32"/>
          <w:szCs w:val="32"/>
          <w:highlight w:val="none"/>
        </w:rPr>
        <w:t>万元，支出决算为967.36万元，完成年初预算的</w:t>
      </w:r>
      <w:r>
        <w:rPr>
          <w:rFonts w:hint="eastAsia" w:ascii="仿宋_GB2312" w:hAnsi="仿宋_GB2312" w:eastAsia="仿宋_GB2312" w:cs="仿宋_GB2312"/>
          <w:sz w:val="32"/>
          <w:szCs w:val="32"/>
          <w:highlight w:val="none"/>
          <w:lang w:val="en-US" w:eastAsia="zh-CN"/>
        </w:rPr>
        <w:t>98.26</w:t>
      </w:r>
      <w:r>
        <w:rPr>
          <w:rFonts w:hint="eastAsia" w:ascii="仿宋_GB2312" w:hAnsi="仿宋_GB2312" w:eastAsia="仿宋_GB2312" w:cs="仿宋_GB2312"/>
          <w:sz w:val="32"/>
          <w:szCs w:val="32"/>
          <w:highlight w:val="none"/>
        </w:rPr>
        <w:t>%，决算数小于年初预算数的主要原因是：人员变动导致预算调整。</w:t>
      </w:r>
    </w:p>
    <w:p w14:paraId="7058277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、其他支出（类）其他支出（款）其他支出（项）。</w:t>
      </w:r>
    </w:p>
    <w:p w14:paraId="2C3C510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年初预算为0万元，支出决算为6719.23万元，决算数大于年初预算数的主要原因是：年中追加预算。</w:t>
      </w:r>
    </w:p>
    <w:p w14:paraId="1C847A10">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65FB939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财政拨款基本支出16633.71万元，其中：</w:t>
      </w:r>
    </w:p>
    <w:p w14:paraId="1984501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rPr>
        <w:t>15122.63万元，占基本支出的</w:t>
      </w:r>
      <w:r>
        <w:rPr>
          <w:rFonts w:hint="eastAsia" w:ascii="仿宋_GB2312" w:hAnsi="仿宋_GB2312" w:eastAsia="仿宋_GB2312" w:cs="仿宋_GB2312"/>
          <w:sz w:val="32"/>
          <w:szCs w:val="32"/>
          <w:lang w:val="en-US" w:eastAsia="zh-CN"/>
        </w:rPr>
        <w:t>90.92</w:t>
      </w:r>
      <w:r>
        <w:rPr>
          <w:rFonts w:hint="eastAsia" w:ascii="仿宋_GB2312" w:hAnsi="仿宋_GB2312" w:eastAsia="仿宋_GB2312" w:cs="仿宋_GB2312"/>
          <w:sz w:val="32"/>
          <w:szCs w:val="32"/>
        </w:rPr>
        <w:t>%,主要包括基本工资、津贴补贴、奖金、伙食补助费、绩效工资、机关事业单位基本养老保险缴费、职业年金缴费、职工基本医疗保险缴费、其他社会保障缴费、住房公积金、医疗费、其他工资福利支出、退休费、抚恤金、生活补助、救济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医疗费补助、奖励金、其他对个人和家庭的补助</w:t>
      </w:r>
      <w:r>
        <w:rPr>
          <w:rFonts w:hint="eastAsia" w:ascii="仿宋_GB2312" w:hAnsi="仿宋_GB2312" w:eastAsia="仿宋_GB2312" w:cs="仿宋_GB2312"/>
          <w:sz w:val="32"/>
          <w:szCs w:val="32"/>
          <w:lang w:eastAsia="zh-CN"/>
        </w:rPr>
        <w:t>。</w:t>
      </w:r>
    </w:p>
    <w:p w14:paraId="0503F3B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rPr>
        <w:t>1511.09万元，占基本支出的</w:t>
      </w:r>
      <w:r>
        <w:rPr>
          <w:rFonts w:hint="eastAsia" w:ascii="仿宋_GB2312" w:hAnsi="仿宋_GB2312" w:eastAsia="仿宋_GB2312" w:cs="仿宋_GB2312"/>
          <w:sz w:val="32"/>
          <w:szCs w:val="32"/>
          <w:lang w:val="en-US" w:eastAsia="zh-CN"/>
        </w:rPr>
        <w:t>9.08</w:t>
      </w:r>
      <w:r>
        <w:rPr>
          <w:rFonts w:hint="eastAsia" w:ascii="仿宋_GB2312" w:hAnsi="仿宋_GB2312" w:eastAsia="仿宋_GB2312" w:cs="仿宋_GB2312"/>
          <w:sz w:val="32"/>
          <w:szCs w:val="32"/>
        </w:rPr>
        <w:t>%，主要包括办公费、印刷费、水费、电费、邮电费、物业管理费、差旅费、维修（护）费、租赁费、会议费、培训费、公务接待费、专用燃料费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劳务费、委托业务费、工会经费、福利费、公务用车运行维护费、其他交通费用、其他商品和服务支出、办公设备购置、专用设备购置。</w:t>
      </w:r>
    </w:p>
    <w:p w14:paraId="3DF296E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79307CA2">
      <w:pPr>
        <w:pStyle w:val="12"/>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度政府性基金预算财政拨款收入5587.52万元；年初结转和结余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万元；支出5587.52万元，其中基本支出85.51万元，项目支出5502.01万元；年末结转和结余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万元。具体情况如下：</w:t>
      </w:r>
    </w:p>
    <w:p w14:paraId="569107B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1、城乡社区支出（类）国有土地使用权出让收入安排的支出（款）其他国有土地使用权出让收入安排的支出（项）。</w:t>
      </w:r>
    </w:p>
    <w:p w14:paraId="78F8283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年初预算为0万元，支出决算为1548.09万元，决算数大于年初预算数的主要原因是：年中追加预算。</w:t>
      </w:r>
    </w:p>
    <w:p w14:paraId="689FE6D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2、其他支出（类）其他政府性基金及对应专项债务收入安排的支出（款） 其他地方自行试点项目收益专项债券收入安排的支出（项）。</w:t>
      </w:r>
    </w:p>
    <w:p w14:paraId="0AD642A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年初预算为0万元，支出决算为3929.43万元，决算数大于年初预算数的主要原因是：年中追加预算。</w:t>
      </w:r>
    </w:p>
    <w:p w14:paraId="1F83DFB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3、债务还本支出（类）地方政府专项债务还本支出（款）其他政府性基金债务还本支出（项）。</w:t>
      </w:r>
    </w:p>
    <w:p w14:paraId="7933491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年初预算为0万元，支出决算为110.00万元，决算数大于年初预算数的主要原因是：年中追加预算。</w:t>
      </w:r>
    </w:p>
    <w:p w14:paraId="53960E2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46CB8D3F">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其中：基本支出0万元，项目支出0万元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14:paraId="6EFF29FE">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7487FE2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6F2D9A4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rPr>
        <w:t>210.07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197.99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94.25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26.52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11.81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认真贯彻落实中央“八项规定”精神和厉行节约要求，从严控制“三公”经费开支，全年实际支出比预算有所节约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决算数小于上年数的主要原因是认真贯彻落实中央“八项规定”精神和厉行节约要求，从严控制“三公”经费开支，全年实际支出比上年实际支出有所节约。</w:t>
      </w:r>
    </w:p>
    <w:p w14:paraId="5395226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0CDD445C">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决算数等于预算数，主要原因是我单位严格按预算执行决算；与上年一致，无增减变动，主要原因是未安排因公出国（境）活动。2025年度安排因公出国（境）团组0个，累计0人次。</w:t>
      </w:r>
    </w:p>
    <w:p w14:paraId="3BE89F0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208.07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197.02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94.69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25.89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11.61</w:t>
      </w:r>
      <w:r>
        <w:rPr>
          <w:rFonts w:ascii="Times New Roman" w:hAnsi="Times New Roman" w:eastAsia="仿宋_GB2312" w:cs="Times New Roman"/>
          <w:sz w:val="32"/>
          <w:szCs w:val="32"/>
        </w:rPr>
        <w:t>%。其中：</w:t>
      </w:r>
    </w:p>
    <w:p w14:paraId="6B94AE4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决算数等于预算数，主要原因是我单位严格按预算执行决算；与上年一致，无增减变动，主要原因是两年均未购置公务用车。本单位更新公务用车0辆。</w:t>
      </w:r>
    </w:p>
    <w:p w14:paraId="64135E3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208.07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197.02</w:t>
      </w:r>
      <w:r>
        <w:rPr>
          <w:rFonts w:ascii="Times New Roman" w:hAnsi="Times New Roman" w:eastAsia="仿宋_GB2312" w:cs="Times New Roman"/>
          <w:sz w:val="32"/>
          <w:szCs w:val="32"/>
        </w:rPr>
        <w:t>万元，</w:t>
      </w:r>
    </w:p>
    <w:p w14:paraId="58061917">
      <w:pPr>
        <w:pStyle w:val="12"/>
        <w:overflowPunct w:val="0"/>
        <w:autoSpaceDE/>
        <w:autoSpaceDN/>
        <w:spacing w:line="600" w:lineRule="exact"/>
        <w:ind w:firstLine="640" w:firstLineChars="200"/>
        <w:jc w:val="both"/>
        <w:rPr>
          <w:rFonts w:hint="default" w:ascii="Times New Roman" w:hAnsi="Times New Roman" w:eastAsia="仿宋_GB2312" w:cs="Times New Roman"/>
          <w:b/>
          <w:bCs/>
          <w:i/>
          <w:color w:val="FF0000"/>
          <w:sz w:val="32"/>
          <w:szCs w:val="32"/>
          <w:lang w:val="en-US" w:eastAsia="zh-CN"/>
        </w:rPr>
      </w:pPr>
      <w:r>
        <w:rPr>
          <w:rFonts w:hint="eastAsia" w:ascii="Times New Roman" w:hAnsi="Times New Roman" w:eastAsia="仿宋_GB2312" w:cs="Times New Roman"/>
          <w:sz w:val="32"/>
          <w:szCs w:val="32"/>
        </w:rPr>
        <w:t>主要是车辆油料费、维修费、保险费及年检费用等支出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94.69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25.89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11.61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认真贯彻落实中央“八项规定”精神和厉行节约要求，从严控制“三公”经费开支，全年实际支出比预算有所节约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决算数小于上年数的主要原因是认真贯彻落实中央“八项规定”精神和厉行节约要求，从严控制“三公”经费开支，全年实际支出比上年实际支出有所节约。</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w:t>
      </w:r>
      <w:r>
        <w:rPr>
          <w:rFonts w:ascii="Times New Roman" w:hAnsi="Times New Roman" w:eastAsia="仿宋_GB2312" w:cs="Times New Roman"/>
          <w:sz w:val="32"/>
          <w:szCs w:val="32"/>
          <w:highlight w:val="none"/>
        </w:rPr>
        <w:t>我单位开支财政拨款的公务用车保有量为</w:t>
      </w:r>
      <w:r>
        <w:rPr>
          <w:rFonts w:hint="eastAsia" w:ascii="Times New Roman" w:hAnsi="Times New Roman" w:eastAsia="仿宋_GB2312" w:cs="Times New Roman"/>
          <w:sz w:val="32"/>
          <w:szCs w:val="32"/>
          <w:highlight w:val="none"/>
          <w:lang w:val="en-US" w:eastAsia="zh-CN"/>
        </w:rPr>
        <w:t>66</w:t>
      </w:r>
      <w:r>
        <w:rPr>
          <w:rFonts w:ascii="Times New Roman" w:hAnsi="Times New Roman" w:eastAsia="仿宋_GB2312" w:cs="Times New Roman"/>
          <w:sz w:val="32"/>
          <w:szCs w:val="32"/>
          <w:highlight w:val="none"/>
        </w:rPr>
        <w:t>辆。</w:t>
      </w:r>
    </w:p>
    <w:p w14:paraId="2C1D7E4A">
      <w:pPr>
        <w:pStyle w:val="12"/>
        <w:overflowPunct w:val="0"/>
        <w:autoSpaceDE/>
        <w:autoSpaceDN/>
        <w:spacing w:line="600" w:lineRule="exact"/>
        <w:ind w:firstLine="640" w:firstLineChars="200"/>
        <w:jc w:val="both"/>
        <w:rPr>
          <w:rFonts w:hint="eastAsia" w:ascii="Times New Roman" w:hAnsi="Times New Roman" w:eastAsia="仿宋_GB2312"/>
          <w:b/>
          <w:color w:val="auto"/>
          <w:sz w:val="32"/>
          <w:szCs w:val="32"/>
          <w:lang w:val="en-US"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rPr>
        <w:t>2.00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0.97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48.50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39.38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认真贯彻落实中央“八项规定”精神和厉行节约要求，从严控制“三公”经费开支，全年实际支出比预算有所节约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决算数小于上年数的主要原因是认真贯彻落实中央“八项规定”精神和厉行节约要求，从严控制“三公”经费开支，全年实际支出比上年实际支出有所节约。</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省住建厅</w:t>
      </w:r>
      <w:r>
        <w:rPr>
          <w:rFonts w:hint="eastAsia" w:ascii="Times New Roman" w:hAnsi="Times New Roman" w:eastAsia="仿宋_GB2312" w:cs="Times New Roman"/>
          <w:sz w:val="32"/>
          <w:szCs w:val="32"/>
          <w:lang w:val="en-US" w:eastAsia="zh-CN"/>
        </w:rPr>
        <w:t>关于</w:t>
      </w:r>
      <w:r>
        <w:rPr>
          <w:rFonts w:hint="eastAsia" w:ascii="Times New Roman" w:hAnsi="Times New Roman" w:eastAsia="仿宋_GB2312" w:cs="Times New Roman"/>
          <w:sz w:val="32"/>
          <w:szCs w:val="32"/>
        </w:rPr>
        <w:t>开展</w:t>
      </w:r>
      <w:r>
        <w:rPr>
          <w:rFonts w:hint="eastAsia" w:ascii="Times New Roman" w:hAnsi="Times New Roman" w:eastAsia="仿宋_GB2312" w:cs="Times New Roman"/>
          <w:sz w:val="32"/>
          <w:szCs w:val="32"/>
          <w:lang w:val="en-US" w:eastAsia="zh-CN"/>
        </w:rPr>
        <w:t>全省城市运行管理服务平台试运行等</w:t>
      </w:r>
      <w:r>
        <w:rPr>
          <w:rFonts w:hint="eastAsia" w:ascii="Times New Roman" w:hAnsi="Times New Roman" w:eastAsia="仿宋_GB2312" w:cs="Times New Roman"/>
          <w:sz w:val="32"/>
          <w:szCs w:val="32"/>
        </w:rPr>
        <w:t>工作调研</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冷水江市燃气办调研非居天然气价格及燃气特许经营权等事宜、益阳市城管局关于开展2024年城市道路（桥梁、隧道）安全及规范化管理调研工作、广州市城管局来局考察学习建筑垃圾管理工作、省城建协会召开户外广告（招牌）相关标准第二轮技术评审工作会、怀化市城管局赴岳考察学习城市管理相关工作、咸宁市城管执法委员会来岳开展停车立法调研、湘潭市城管局赴岳学习共享电动自行车运营管理领域的经验模式、益阳市城管局来局学习市政道路、市政排水维护维修工作、株洲市城市管理局来岳开展城市照明安全运行及规范化管理调研</w:t>
      </w:r>
      <w:r>
        <w:rPr>
          <w:rFonts w:ascii="Times New Roman" w:hAnsi="Times New Roman" w:eastAsia="仿宋_GB2312" w:cs="Times New Roman"/>
          <w:sz w:val="32"/>
          <w:szCs w:val="32"/>
        </w:rPr>
        <w:t>发生的接待支出。</w:t>
      </w:r>
    </w:p>
    <w:p w14:paraId="2CD87AA3">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117CA0E3">
      <w:pPr>
        <w:pStyle w:val="12"/>
        <w:ind w:firstLine="640" w:firstLineChars="200"/>
        <w:rPr>
          <w:rFonts w:hint="default" w:ascii="Times New Roman" w:hAnsi="Times New Roman" w:eastAsia="仿宋_GB2312"/>
          <w:sz w:val="32"/>
          <w:szCs w:val="32"/>
          <w:highlight w:val="none"/>
          <w:lang w:val="en-US" w:eastAsia="zh-CN"/>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度机关运行经费支出1511.09万元，</w:t>
      </w:r>
      <w:r>
        <w:rPr>
          <w:rFonts w:hint="eastAsia" w:ascii="仿宋_GB2312" w:hAnsi="仿宋_GB2312" w:eastAsia="仿宋_GB2312" w:cs="仿宋_GB2312"/>
          <w:sz w:val="32"/>
          <w:szCs w:val="32"/>
          <w:highlight w:val="none"/>
        </w:rPr>
        <w:t>比年初预算数减少</w:t>
      </w:r>
      <w:r>
        <w:rPr>
          <w:rFonts w:hint="eastAsia" w:ascii="仿宋_GB2312" w:hAnsi="仿宋_GB2312" w:eastAsia="仿宋_GB2312" w:cs="仿宋_GB2312"/>
          <w:sz w:val="32"/>
          <w:szCs w:val="32"/>
          <w:highlight w:val="none"/>
          <w:lang w:val="en-US" w:eastAsia="zh-CN"/>
        </w:rPr>
        <w:t>620.53</w:t>
      </w:r>
      <w:r>
        <w:rPr>
          <w:rFonts w:hint="eastAsia" w:ascii="仿宋_GB2312" w:hAnsi="仿宋_GB2312" w:eastAsia="仿宋_GB2312" w:cs="仿宋_GB2312"/>
          <w:sz w:val="32"/>
          <w:szCs w:val="32"/>
          <w:highlight w:val="none"/>
        </w:rPr>
        <w:t>万元，降低</w:t>
      </w:r>
      <w:r>
        <w:rPr>
          <w:rFonts w:hint="eastAsia" w:ascii="仿宋_GB2312" w:hAnsi="仿宋_GB2312" w:eastAsia="仿宋_GB2312" w:cs="仿宋_GB2312"/>
          <w:sz w:val="32"/>
          <w:szCs w:val="32"/>
          <w:highlight w:val="none"/>
          <w:lang w:val="en-US" w:eastAsia="zh-CN"/>
        </w:rPr>
        <w:t>29.11</w:t>
      </w:r>
      <w:r>
        <w:rPr>
          <w:rFonts w:hint="eastAsia" w:ascii="仿宋_GB2312" w:hAnsi="仿宋_GB2312" w:eastAsia="仿宋_GB2312" w:cs="仿宋_GB2312"/>
          <w:sz w:val="32"/>
          <w:szCs w:val="32"/>
          <w:highlight w:val="none"/>
        </w:rPr>
        <w:t>%。主要原因是：认真贯彻落实中央“八项规定”精神和厉行节约要求，从严控制“三公”经费开支，全年实际支出比预算有所节约</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比上年决算数增加</w:t>
      </w:r>
      <w:r>
        <w:rPr>
          <w:rFonts w:hint="eastAsia" w:ascii="仿宋_GB2312" w:hAnsi="仿宋_GB2312" w:eastAsia="仿宋_GB2312" w:cs="仿宋_GB2312"/>
          <w:sz w:val="32"/>
          <w:szCs w:val="32"/>
          <w:highlight w:val="none"/>
          <w:lang w:val="en-US" w:eastAsia="zh-CN"/>
        </w:rPr>
        <w:t>1142.9</w:t>
      </w:r>
      <w:r>
        <w:rPr>
          <w:rFonts w:hint="eastAsia" w:ascii="仿宋_GB2312" w:hAnsi="仿宋_GB2312" w:eastAsia="仿宋_GB2312" w:cs="仿宋_GB2312"/>
          <w:sz w:val="32"/>
          <w:szCs w:val="32"/>
          <w:highlight w:val="none"/>
        </w:rPr>
        <w:t>万元，增长</w:t>
      </w:r>
      <w:r>
        <w:rPr>
          <w:rFonts w:hint="eastAsia" w:ascii="仿宋_GB2312" w:hAnsi="仿宋_GB2312" w:eastAsia="仿宋_GB2312" w:cs="仿宋_GB2312"/>
          <w:sz w:val="32"/>
          <w:szCs w:val="32"/>
          <w:highlight w:val="none"/>
          <w:lang w:val="en-US" w:eastAsia="zh-CN"/>
        </w:rPr>
        <w:t>310.41</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sz w:val="32"/>
          <w:szCs w:val="32"/>
          <w:highlight w:val="none"/>
          <w:lang w:val="en-US" w:eastAsia="zh-CN"/>
        </w:rPr>
        <w:t>该数据为局本级及下设10个单位的数据总和。</w:t>
      </w:r>
    </w:p>
    <w:p w14:paraId="3DD17B4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013A85E3">
      <w:pPr>
        <w:pStyle w:val="12"/>
        <w:ind w:firstLine="640" w:firstLineChars="200"/>
        <w:rPr>
          <w:rFonts w:hint="eastAsia"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w:t>
      </w:r>
      <w:r>
        <w:rPr>
          <w:rFonts w:hint="eastAsia" w:ascii="仿宋_GB2312" w:hAnsi="仿宋_GB2312" w:eastAsia="仿宋_GB2312" w:cs="仿宋_GB2312"/>
          <w:sz w:val="32"/>
          <w:szCs w:val="32"/>
          <w:highlight w:val="none"/>
          <w:lang w:val="en-US" w:eastAsia="zh-CN"/>
        </w:rPr>
        <w:t>年初预算2万元，</w:t>
      </w:r>
      <w:r>
        <w:rPr>
          <w:rFonts w:hint="eastAsia" w:ascii="仿宋_GB2312" w:hAnsi="仿宋_GB2312" w:eastAsia="仿宋_GB2312" w:cs="仿宋_GB2312"/>
          <w:sz w:val="32"/>
          <w:szCs w:val="32"/>
          <w:lang w:val="en-US" w:eastAsia="zh-CN"/>
        </w:rPr>
        <w:t>支出决算为0.95万元，完成年初预算的47.50%。</w:t>
      </w:r>
      <w:r>
        <w:rPr>
          <w:rFonts w:hint="eastAsia" w:ascii="仿宋_GB2312" w:hAnsi="仿宋_GB2312" w:eastAsia="仿宋_GB2312" w:cs="仿宋_GB2312"/>
          <w:sz w:val="32"/>
          <w:szCs w:val="32"/>
          <w:highlight w:val="none"/>
          <w:lang w:val="en-US" w:eastAsia="zh-CN"/>
        </w:rPr>
        <w:t>用于召开年终总结及年初动员会议，</w:t>
      </w:r>
      <w:r>
        <w:rPr>
          <w:rFonts w:hint="eastAsia" w:ascii="仿宋_GB2312" w:hAnsi="仿宋_GB2312" w:eastAsia="仿宋_GB2312" w:cs="仿宋_GB2312"/>
          <w:sz w:val="32"/>
          <w:szCs w:val="32"/>
          <w:highlight w:val="none"/>
        </w:rPr>
        <w:t>人数</w:t>
      </w:r>
      <w:r>
        <w:rPr>
          <w:rFonts w:hint="eastAsia" w:ascii="仿宋_GB2312" w:hAnsi="仿宋_GB2312" w:eastAsia="仿宋_GB2312" w:cs="仿宋_GB2312"/>
          <w:sz w:val="32"/>
          <w:szCs w:val="32"/>
          <w:highlight w:val="none"/>
          <w:lang w:val="en-US" w:eastAsia="zh-CN"/>
        </w:rPr>
        <w:t>260</w:t>
      </w:r>
      <w:r>
        <w:rPr>
          <w:rFonts w:hint="eastAsia" w:ascii="仿宋_GB2312" w:hAnsi="仿宋_GB2312" w:eastAsia="仿宋_GB2312" w:cs="仿宋_GB2312"/>
          <w:sz w:val="32"/>
          <w:szCs w:val="32"/>
          <w:highlight w:val="none"/>
        </w:rPr>
        <w:t>人，内容为</w:t>
      </w:r>
      <w:r>
        <w:rPr>
          <w:rFonts w:hint="eastAsia" w:ascii="仿宋_GB2312" w:hAnsi="仿宋_GB2312" w:eastAsia="仿宋_GB2312" w:cs="仿宋_GB2312"/>
          <w:sz w:val="32"/>
          <w:szCs w:val="32"/>
          <w:highlight w:val="none"/>
          <w:lang w:val="en-US" w:eastAsia="zh-CN"/>
        </w:rPr>
        <w:t>2024</w:t>
      </w:r>
      <w:r>
        <w:rPr>
          <w:rFonts w:hint="eastAsia" w:ascii="仿宋_GB2312" w:hAnsi="仿宋_GB2312" w:eastAsia="仿宋_GB2312" w:cs="仿宋_GB2312"/>
          <w:sz w:val="32"/>
          <w:szCs w:val="32"/>
          <w:highlight w:val="none"/>
          <w:lang w:eastAsia="zh-CN"/>
        </w:rPr>
        <w:t>年年终总结及</w:t>
      </w:r>
      <w:r>
        <w:rPr>
          <w:rFonts w:hint="eastAsia" w:ascii="仿宋_GB2312" w:hAnsi="仿宋_GB2312" w:eastAsia="仿宋_GB2312" w:cs="仿宋_GB2312"/>
          <w:sz w:val="32"/>
          <w:szCs w:val="32"/>
          <w:highlight w:val="none"/>
          <w:lang w:val="en-US" w:eastAsia="zh-CN"/>
        </w:rPr>
        <w:t>2025年</w:t>
      </w:r>
      <w:r>
        <w:rPr>
          <w:rFonts w:hint="eastAsia" w:ascii="仿宋_GB2312" w:hAnsi="仿宋_GB2312" w:eastAsia="仿宋_GB2312" w:cs="仿宋_GB2312"/>
          <w:sz w:val="32"/>
          <w:szCs w:val="32"/>
          <w:highlight w:val="none"/>
          <w:lang w:eastAsia="zh-CN"/>
        </w:rPr>
        <w:t>年初动员。</w:t>
      </w:r>
    </w:p>
    <w:p w14:paraId="14DDE3E2">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highlight w:val="none"/>
          <w:lang w:val="en-US" w:eastAsia="zh-CN" w:bidi="ar-SA"/>
        </w:rPr>
      </w:pPr>
      <w:r>
        <w:rPr>
          <w:rFonts w:hint="eastAsia" w:ascii="仿宋_GB2312" w:hAnsi="仿宋_GB2312" w:eastAsia="仿宋_GB2312" w:cs="仿宋_GB2312"/>
          <w:color w:val="000000"/>
          <w:kern w:val="0"/>
          <w:sz w:val="32"/>
          <w:szCs w:val="32"/>
          <w:lang w:val="en-US" w:eastAsia="zh-CN" w:bidi="ar-SA"/>
        </w:rPr>
        <w:t>培训费年初预</w:t>
      </w:r>
      <w:r>
        <w:rPr>
          <w:rFonts w:hint="eastAsia" w:ascii="仿宋_GB2312" w:hAnsi="仿宋_GB2312" w:eastAsia="仿宋_GB2312" w:cs="仿宋_GB2312"/>
          <w:color w:val="000000"/>
          <w:kern w:val="0"/>
          <w:sz w:val="32"/>
          <w:szCs w:val="32"/>
          <w:highlight w:val="none"/>
          <w:lang w:val="en-US" w:eastAsia="zh-CN" w:bidi="ar-SA"/>
        </w:rPr>
        <w:t>算14.20万元，</w:t>
      </w:r>
      <w:r>
        <w:rPr>
          <w:rFonts w:hint="eastAsia" w:ascii="仿宋_GB2312" w:hAnsi="仿宋_GB2312" w:eastAsia="仿宋_GB2312" w:cs="仿宋_GB2312"/>
          <w:color w:val="000000"/>
          <w:kern w:val="0"/>
          <w:sz w:val="32"/>
          <w:szCs w:val="32"/>
          <w:lang w:val="en-US" w:eastAsia="zh-CN" w:bidi="ar-SA"/>
        </w:rPr>
        <w:t>支出决算为4.92万元，完成年初预算的34.65%。</w:t>
      </w:r>
      <w:r>
        <w:rPr>
          <w:rFonts w:hint="eastAsia" w:ascii="CESI仿宋-GB2312" w:hAnsi="CESI仿宋-GB2312" w:eastAsia="CESI仿宋-GB2312" w:cs="CESI仿宋-GB2312"/>
          <w:color w:val="auto"/>
          <w:kern w:val="0"/>
          <w:sz w:val="32"/>
          <w:szCs w:val="32"/>
          <w:lang w:val="en-US" w:eastAsia="zh-CN" w:bidi="ar-SA"/>
        </w:rPr>
        <w:t>用于开展专业知识培训，人数77人，内容为城市管理执法相关知识培训。</w:t>
      </w:r>
      <w:r>
        <w:rPr>
          <w:rFonts w:hint="eastAsia" w:ascii="CESI仿宋-GB2312" w:hAnsi="CESI仿宋-GB2312" w:eastAsia="CESI仿宋-GB2312" w:cs="CESI仿宋-GB2312"/>
          <w:i w:val="0"/>
          <w:iCs w:val="0"/>
          <w:caps w:val="0"/>
          <w:color w:val="000000"/>
          <w:spacing w:val="0"/>
          <w:sz w:val="32"/>
          <w:szCs w:val="32"/>
        </w:rPr>
        <w:t>用于</w:t>
      </w:r>
      <w:r>
        <w:rPr>
          <w:rFonts w:hint="eastAsia" w:ascii="CESI仿宋-GB2312" w:hAnsi="CESI仿宋-GB2312" w:eastAsia="CESI仿宋-GB2312" w:cs="CESI仿宋-GB2312"/>
          <w:i w:val="0"/>
          <w:iCs w:val="0"/>
          <w:caps w:val="0"/>
          <w:color w:val="000000"/>
          <w:spacing w:val="0"/>
          <w:sz w:val="32"/>
          <w:szCs w:val="32"/>
          <w:lang w:val="en-US" w:eastAsia="zh-CN"/>
        </w:rPr>
        <w:t>在职干部职工继续教育</w:t>
      </w:r>
      <w:r>
        <w:rPr>
          <w:rFonts w:hint="eastAsia" w:ascii="CESI仿宋-GB2312" w:hAnsi="CESI仿宋-GB2312" w:eastAsia="CESI仿宋-GB2312" w:cs="CESI仿宋-GB2312"/>
          <w:i w:val="0"/>
          <w:iCs w:val="0"/>
          <w:caps w:val="0"/>
          <w:color w:val="000000"/>
          <w:spacing w:val="0"/>
          <w:sz w:val="32"/>
          <w:szCs w:val="32"/>
        </w:rPr>
        <w:t>培训，人数</w:t>
      </w:r>
      <w:r>
        <w:rPr>
          <w:rFonts w:hint="eastAsia" w:ascii="CESI仿宋-GB2312" w:hAnsi="CESI仿宋-GB2312" w:eastAsia="CESI仿宋-GB2312" w:cs="CESI仿宋-GB2312"/>
          <w:i w:val="0"/>
          <w:iCs w:val="0"/>
          <w:caps w:val="0"/>
          <w:color w:val="000000"/>
          <w:spacing w:val="0"/>
          <w:sz w:val="32"/>
          <w:szCs w:val="32"/>
          <w:lang w:val="en-US" w:eastAsia="zh-CN"/>
        </w:rPr>
        <w:t>20</w:t>
      </w:r>
      <w:r>
        <w:rPr>
          <w:rFonts w:hint="eastAsia" w:ascii="CESI仿宋-GB2312" w:hAnsi="CESI仿宋-GB2312" w:eastAsia="CESI仿宋-GB2312" w:cs="CESI仿宋-GB2312"/>
          <w:i w:val="0"/>
          <w:iCs w:val="0"/>
          <w:caps w:val="0"/>
          <w:color w:val="000000"/>
          <w:spacing w:val="0"/>
          <w:sz w:val="32"/>
          <w:szCs w:val="32"/>
        </w:rPr>
        <w:t>人次，内容</w:t>
      </w:r>
      <w:r>
        <w:rPr>
          <w:rFonts w:hint="eastAsia" w:ascii="CESI仿宋-GB2312" w:hAnsi="CESI仿宋-GB2312" w:eastAsia="CESI仿宋-GB2312" w:cs="CESI仿宋-GB2312"/>
          <w:i w:val="0"/>
          <w:iCs w:val="0"/>
          <w:caps w:val="0"/>
          <w:color w:val="000000"/>
          <w:spacing w:val="0"/>
          <w:sz w:val="32"/>
          <w:szCs w:val="32"/>
          <w:lang w:val="en-US" w:eastAsia="zh-CN"/>
        </w:rPr>
        <w:t>为行政事业单位在职职工继续教育公共科目及相关专业科目学习。</w:t>
      </w:r>
      <w:r>
        <w:rPr>
          <w:rFonts w:hint="eastAsia" w:ascii="仿宋_GB2312" w:hAnsi="仿宋_GB2312" w:eastAsia="仿宋_GB2312" w:cs="仿宋_GB2312"/>
          <w:color w:val="000000"/>
          <w:kern w:val="0"/>
          <w:sz w:val="32"/>
          <w:szCs w:val="32"/>
          <w:highlight w:val="none"/>
          <w:lang w:val="en-US" w:eastAsia="zh-CN" w:bidi="ar-SA"/>
        </w:rPr>
        <w:t>用于开展业务能力培训，人数10人，内容为处级干部、科级干部培训班等。</w:t>
      </w:r>
    </w:p>
    <w:p w14:paraId="4350C63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本单位无举办节庆、晚会、论坛、赛事等活动的预算和支出决算数。</w:t>
      </w:r>
    </w:p>
    <w:p w14:paraId="2BEC13C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513C404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2902.38</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426.55</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370.96</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2104.87</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2902.38</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2902.38</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4D899F90">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7712D2E4">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highlight w:val="none"/>
          <w:lang w:eastAsia="zh-CN"/>
        </w:rPr>
        <w:t>部门（单位）</w:t>
      </w:r>
      <w:r>
        <w:rPr>
          <w:rFonts w:hint="eastAsia" w:ascii="仿宋_GB2312" w:hAnsi="仿宋_GB2312" w:eastAsia="仿宋_GB2312" w:cs="仿宋_GB2312"/>
          <w:color w:val="auto"/>
          <w:sz w:val="32"/>
          <w:szCs w:val="32"/>
          <w:highlight w:val="none"/>
        </w:rPr>
        <w:t>共有车辆</w:t>
      </w:r>
      <w:r>
        <w:rPr>
          <w:rFonts w:hint="eastAsia" w:ascii="仿宋_GB2312" w:hAnsi="仿宋_GB2312" w:eastAsia="仿宋_GB2312" w:cs="仿宋_GB2312"/>
          <w:color w:val="auto"/>
          <w:sz w:val="32"/>
          <w:szCs w:val="32"/>
          <w:highlight w:val="none"/>
          <w:lang w:val="en-US" w:eastAsia="zh-CN"/>
        </w:rPr>
        <w:t>66</w:t>
      </w:r>
      <w:r>
        <w:rPr>
          <w:rFonts w:hint="eastAsia" w:ascii="仿宋_GB2312" w:hAnsi="仿宋_GB2312" w:eastAsia="仿宋_GB2312" w:cs="仿宋_GB2312"/>
          <w:color w:val="auto"/>
          <w:sz w:val="32"/>
          <w:szCs w:val="32"/>
          <w:highlight w:val="none"/>
        </w:rPr>
        <w:t>辆，其中</w:t>
      </w:r>
      <w:r>
        <w:rPr>
          <w:rFonts w:hint="eastAsia" w:ascii="仿宋_GB2312" w:hAnsi="仿宋_GB2312" w:eastAsia="仿宋_GB2312" w:cs="仿宋_GB2312"/>
          <w:color w:val="auto"/>
          <w:sz w:val="32"/>
          <w:szCs w:val="32"/>
          <w:highlight w:val="none"/>
          <w:lang w:eastAsia="zh-CN"/>
        </w:rPr>
        <w:t>，副部（省）级及以上领导用车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主要</w:t>
      </w:r>
      <w:r>
        <w:rPr>
          <w:rFonts w:hint="eastAsia" w:ascii="仿宋_GB2312" w:hAnsi="仿宋_GB2312" w:eastAsia="仿宋_GB2312" w:cs="仿宋_GB2312"/>
          <w:color w:val="auto"/>
          <w:sz w:val="32"/>
          <w:szCs w:val="32"/>
          <w:highlight w:val="none"/>
          <w:lang w:eastAsia="zh-CN"/>
        </w:rPr>
        <w:t>负责人</w:t>
      </w:r>
      <w:r>
        <w:rPr>
          <w:rFonts w:hint="eastAsia" w:ascii="仿宋_GB2312" w:hAnsi="仿宋_GB2312" w:eastAsia="仿宋_GB2312" w:cs="仿宋_GB2312"/>
          <w:color w:val="auto"/>
          <w:sz w:val="32"/>
          <w:szCs w:val="32"/>
          <w:highlight w:val="none"/>
        </w:rPr>
        <w:t>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机要通信用车</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辆、应急保障用车</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辆、执法执勤用车</w:t>
      </w:r>
      <w:r>
        <w:rPr>
          <w:rFonts w:hint="eastAsia" w:ascii="仿宋_GB2312" w:hAnsi="仿宋_GB2312" w:eastAsia="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辆、特种专业技术用车</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离退休干部服务用车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辆、其他用车</w:t>
      </w:r>
      <w:r>
        <w:rPr>
          <w:rFonts w:hint="eastAsia" w:ascii="仿宋_GB2312" w:hAnsi="仿宋_GB2312" w:eastAsia="仿宋_GB2312" w:cs="仿宋_GB2312"/>
          <w:color w:val="auto"/>
          <w:sz w:val="32"/>
          <w:szCs w:val="32"/>
          <w:highlight w:val="none"/>
          <w:lang w:val="en-US" w:eastAsia="zh-CN"/>
        </w:rPr>
        <w:t>44</w:t>
      </w:r>
      <w:r>
        <w:rPr>
          <w:rFonts w:hint="eastAsia" w:ascii="仿宋_GB2312" w:hAnsi="仿宋_GB2312" w:eastAsia="仿宋_GB2312" w:cs="仿宋_GB2312"/>
          <w:color w:val="auto"/>
          <w:sz w:val="32"/>
          <w:szCs w:val="32"/>
          <w:highlight w:val="none"/>
        </w:rPr>
        <w:t>辆，其他用车主要是</w:t>
      </w:r>
      <w:r>
        <w:rPr>
          <w:rFonts w:hint="eastAsia" w:ascii="Times New Roman" w:hAnsi="Times New Roman" w:eastAsia="仿宋_GB2312" w:cs="Times New Roman"/>
          <w:sz w:val="32"/>
          <w:szCs w:val="32"/>
          <w:highlight w:val="none"/>
        </w:rPr>
        <w:t>照明设施维护管理生产用车</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eastAsia="zh-CN"/>
        </w:rPr>
        <w:t>工程施工车辆等生产性车辆</w:t>
      </w:r>
      <w:r>
        <w:rPr>
          <w:rFonts w:hint="eastAsia" w:ascii="仿宋_GB2312" w:hAnsi="仿宋_GB2312" w:eastAsia="仿宋_GB2312" w:cs="仿宋_GB2312"/>
          <w:color w:val="auto"/>
          <w:sz w:val="32"/>
          <w:szCs w:val="32"/>
          <w:highlight w:val="none"/>
        </w:rPr>
        <w:t>；单位价值100万元以上设备</w:t>
      </w:r>
      <w:r>
        <w:rPr>
          <w:rFonts w:hint="eastAsia" w:ascii="仿宋_GB2312" w:hAnsi="仿宋_GB2312" w:eastAsia="仿宋_GB2312" w:cs="仿宋_GB2312"/>
          <w:color w:val="auto"/>
          <w:sz w:val="32"/>
          <w:szCs w:val="32"/>
          <w:highlight w:val="none"/>
          <w:lang w:eastAsia="zh-CN"/>
        </w:rPr>
        <w:t>（不含车辆）</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台（套）。</w:t>
      </w:r>
    </w:p>
    <w:p w14:paraId="3633E09B">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78F2E1FB">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2559DDC6">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w:t>
      </w:r>
      <w:r>
        <w:rPr>
          <w:rFonts w:ascii="Times New Roman" w:hAnsi="Times New Roman" w:eastAsia="仿宋_GB2312" w:cs="Times New Roman"/>
          <w:kern w:val="0"/>
          <w:sz w:val="32"/>
          <w:szCs w:val="32"/>
          <w:highlight w:val="none"/>
        </w:rPr>
        <w:t>涉及项目</w:t>
      </w:r>
      <w:r>
        <w:rPr>
          <w:rFonts w:hint="eastAsia" w:ascii="Times New Roman" w:hAnsi="Times New Roman" w:eastAsia="仿宋_GB2312" w:cs="Times New Roman"/>
          <w:kern w:val="0"/>
          <w:sz w:val="32"/>
          <w:szCs w:val="32"/>
          <w:highlight w:val="none"/>
          <w:lang w:val="en-US" w:eastAsia="zh-CN"/>
        </w:rPr>
        <w:t>49</w:t>
      </w:r>
      <w:r>
        <w:rPr>
          <w:rFonts w:ascii="Times New Roman" w:hAnsi="Times New Roman" w:eastAsia="仿宋_GB2312" w:cs="Times New Roman"/>
          <w:kern w:val="0"/>
          <w:sz w:val="32"/>
          <w:szCs w:val="32"/>
          <w:highlight w:val="none"/>
        </w:rPr>
        <w:t>个，共涉及资金</w:t>
      </w:r>
      <w:r>
        <w:rPr>
          <w:rFonts w:hint="eastAsia" w:ascii="Times New Roman" w:hAnsi="Times New Roman" w:eastAsia="仿宋_GB2312" w:cs="Times New Roman"/>
          <w:kern w:val="0"/>
          <w:sz w:val="32"/>
          <w:szCs w:val="32"/>
          <w:highlight w:val="none"/>
          <w:lang w:val="en-US" w:eastAsia="zh-CN"/>
        </w:rPr>
        <w:t>34818.13</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41</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rPr>
        <w:t>30218.02</w:t>
      </w:r>
      <w:r>
        <w:rPr>
          <w:rFonts w:ascii="Times New Roman" w:hAnsi="Times New Roman" w:eastAsia="仿宋_GB2312" w:cs="Times New Roman"/>
          <w:kern w:val="0"/>
          <w:sz w:val="32"/>
          <w:szCs w:val="32"/>
          <w:highlight w:val="none"/>
        </w:rPr>
        <w:t>万元，占一般公共预算支出总额的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8</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4600.11</w:t>
      </w:r>
      <w:r>
        <w:rPr>
          <w:rFonts w:ascii="Times New Roman" w:hAnsi="Times New Roman" w:eastAsia="仿宋_GB2312" w:cs="Times New Roman"/>
          <w:kern w:val="0"/>
          <w:sz w:val="32"/>
          <w:szCs w:val="32"/>
          <w:highlight w:val="none"/>
        </w:rPr>
        <w:t xml:space="preserve"> 万元，占政府性基金预算支出总额的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w:t>
      </w:r>
      <w:r>
        <w:rPr>
          <w:rFonts w:hint="eastAsia" w:ascii="仿宋_GB2312" w:hAnsi="仿宋_GB2312" w:eastAsia="仿宋_GB2312" w:cs="仿宋_GB2312"/>
          <w:b w:val="0"/>
          <w:bCs w:val="0"/>
          <w:color w:val="auto"/>
          <w:kern w:val="0"/>
          <w:sz w:val="32"/>
          <w:szCs w:val="32"/>
          <w:highlight w:val="none"/>
          <w:lang w:val="en-US" w:eastAsia="zh-CN" w:bidi="ar-SA"/>
        </w:rPr>
        <w:t>无法计算占国有资本经营预算项目支出总额的比重</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w:t>
      </w:r>
      <w:r>
        <w:rPr>
          <w:rFonts w:hint="eastAsia" w:ascii="仿宋_GB2312" w:hAnsi="仿宋_GB2312" w:eastAsia="仿宋_GB2312" w:cs="仿宋_GB2312"/>
          <w:b w:val="0"/>
          <w:bCs w:val="0"/>
          <w:color w:val="auto"/>
          <w:kern w:val="0"/>
          <w:sz w:val="32"/>
          <w:szCs w:val="32"/>
          <w:highlight w:val="none"/>
          <w:lang w:val="en-US" w:eastAsia="zh-CN" w:bidi="ar-SA"/>
        </w:rPr>
        <w:t>无法计算占</w:t>
      </w:r>
      <w:r>
        <w:rPr>
          <w:rFonts w:ascii="Times New Roman" w:hAnsi="Times New Roman" w:eastAsia="仿宋_GB2312" w:cs="Times New Roman"/>
          <w:kern w:val="0"/>
          <w:sz w:val="32"/>
          <w:szCs w:val="32"/>
          <w:highlight w:val="none"/>
        </w:rPr>
        <w:t>社会保险基金</w:t>
      </w:r>
      <w:r>
        <w:rPr>
          <w:rFonts w:hint="eastAsia" w:ascii="仿宋_GB2312" w:hAnsi="仿宋_GB2312" w:eastAsia="仿宋_GB2312" w:cs="仿宋_GB2312"/>
          <w:b w:val="0"/>
          <w:bCs w:val="0"/>
          <w:color w:val="auto"/>
          <w:kern w:val="0"/>
          <w:sz w:val="32"/>
          <w:szCs w:val="32"/>
          <w:highlight w:val="none"/>
          <w:lang w:val="en-US" w:eastAsia="zh-CN" w:bidi="ar-SA"/>
        </w:rPr>
        <w:t>预算项目支出总额的比重</w:t>
      </w:r>
      <w:r>
        <w:rPr>
          <w:rFonts w:ascii="Times New Roman" w:hAnsi="Times New Roman" w:eastAsia="仿宋_GB2312" w:cs="Times New Roman"/>
          <w:kern w:val="0"/>
          <w:sz w:val="32"/>
          <w:szCs w:val="32"/>
          <w:highlight w:val="none"/>
        </w:rPr>
        <w:t>。</w:t>
      </w:r>
    </w:p>
    <w:p w14:paraId="2F39445F">
      <w:pPr>
        <w:keepNext w:val="0"/>
        <w:keepLines w:val="0"/>
        <w:pageBreakBefore w:val="0"/>
        <w:widowControl/>
        <w:kinsoku/>
        <w:wordWrap/>
        <w:overflowPunct/>
        <w:topLinePunct w:val="0"/>
        <w:autoSpaceDE/>
        <w:autoSpaceDN/>
        <w:bidi w:val="0"/>
        <w:adjustRightInd/>
        <w:snapToGrid/>
        <w:spacing w:line="600" w:lineRule="exact"/>
        <w:ind w:firstLine="664" w:firstLineChars="200"/>
        <w:jc w:val="left"/>
        <w:textAlignment w:val="auto"/>
        <w:rPr>
          <w:rFonts w:hint="default"/>
          <w:highlight w:val="none"/>
          <w:lang w:val="en-US" w:eastAsia="zh-CN"/>
        </w:rPr>
      </w:pPr>
      <w:r>
        <w:rPr>
          <w:rFonts w:hint="eastAsia" w:ascii="Times New Roman" w:hAnsi="Times New Roman" w:eastAsia="仿宋_GB2312" w:cs="仿宋_GB2312"/>
          <w:spacing w:val="6"/>
          <w:kern w:val="0"/>
          <w:sz w:val="32"/>
          <w:szCs w:val="32"/>
          <w:lang w:val="en-US" w:eastAsia="zh-CN"/>
        </w:rPr>
        <w:t>严格落实《预算法》及省、市绩效管理工作的有关规定，进一步规范财政资金的管理，强化财政支出绩效理念，提升部门责任意识，提高资金使用效益，始终坚持人民至上理念，紧紧围绕精细、智慧、文化、绿色、人本、平安“六大城管”建设，不断优化城市管理，增强服务功能，推动城市高品质发展。（1）预算及绩效管理情况。我部门从预算编制环节入手，编制</w:t>
      </w:r>
      <w:r>
        <w:rPr>
          <w:rFonts w:hint="eastAsia" w:ascii="Times New Roman" w:hAnsi="Times New Roman" w:eastAsia="仿宋_GB2312" w:cs="仿宋_GB2312"/>
          <w:spacing w:val="6"/>
          <w:kern w:val="0"/>
          <w:sz w:val="32"/>
          <w:szCs w:val="32"/>
        </w:rPr>
        <w:t>资金预算</w:t>
      </w:r>
      <w:r>
        <w:rPr>
          <w:rFonts w:hint="eastAsia" w:ascii="Times New Roman" w:hAnsi="Times New Roman" w:eastAsia="仿宋_GB2312" w:cs="仿宋_GB2312"/>
          <w:spacing w:val="6"/>
          <w:kern w:val="0"/>
          <w:sz w:val="32"/>
          <w:szCs w:val="32"/>
          <w:lang w:val="en-US" w:eastAsia="zh-CN"/>
        </w:rPr>
        <w:t>必须先</w:t>
      </w:r>
      <w:r>
        <w:rPr>
          <w:rFonts w:hint="eastAsia" w:ascii="Times New Roman" w:hAnsi="Times New Roman" w:eastAsia="仿宋_GB2312" w:cs="仿宋_GB2312"/>
          <w:spacing w:val="6"/>
          <w:kern w:val="0"/>
          <w:sz w:val="32"/>
          <w:szCs w:val="32"/>
        </w:rPr>
        <w:t>编制</w:t>
      </w:r>
      <w:r>
        <w:rPr>
          <w:rFonts w:hint="eastAsia" w:ascii="Times New Roman" w:hAnsi="Times New Roman" w:eastAsia="仿宋_GB2312" w:cs="仿宋_GB2312"/>
          <w:spacing w:val="6"/>
          <w:kern w:val="0"/>
          <w:sz w:val="32"/>
          <w:szCs w:val="32"/>
          <w:lang w:val="en-US" w:eastAsia="zh-CN"/>
        </w:rPr>
        <w:t>预算绩效</w:t>
      </w:r>
      <w:r>
        <w:rPr>
          <w:rFonts w:hint="eastAsia" w:ascii="Times New Roman" w:hAnsi="Times New Roman" w:eastAsia="仿宋_GB2312" w:cs="仿宋_GB2312"/>
          <w:spacing w:val="6"/>
          <w:kern w:val="0"/>
          <w:sz w:val="32"/>
          <w:szCs w:val="32"/>
        </w:rPr>
        <w:t>目标</w:t>
      </w:r>
      <w:r>
        <w:rPr>
          <w:rFonts w:hint="eastAsia" w:ascii="Times New Roman" w:hAnsi="Times New Roman" w:eastAsia="仿宋_GB2312" w:cs="仿宋_GB2312"/>
          <w:spacing w:val="6"/>
          <w:kern w:val="0"/>
          <w:sz w:val="32"/>
          <w:szCs w:val="32"/>
          <w:lang w:eastAsia="zh-CN"/>
        </w:rPr>
        <w:t>，</w:t>
      </w:r>
      <w:r>
        <w:rPr>
          <w:rFonts w:hint="eastAsia" w:ascii="Times New Roman" w:hAnsi="Times New Roman" w:eastAsia="仿宋_GB2312" w:cs="仿宋_GB2312"/>
          <w:spacing w:val="6"/>
          <w:kern w:val="0"/>
          <w:sz w:val="32"/>
          <w:szCs w:val="32"/>
          <w:lang w:val="en-US" w:eastAsia="zh-CN"/>
        </w:rPr>
        <w:t>做到资金预算有目标，确保了财政资金支出效益。于2026年3月组织相关业务科室及局属预算单位开展了2025年度预算支出绩效自评工作，指导相关业务科室填报项目支出绩效自评表，确保绩效自评工作有序开展，绩效自评成效显著。</w:t>
      </w:r>
      <w:r>
        <w:rPr>
          <w:rFonts w:hint="eastAsia" w:ascii="Times New Roman" w:hAnsi="Times New Roman" w:eastAsia="仿宋_GB2312" w:cs="仿宋_GB2312"/>
          <w:spacing w:val="6"/>
          <w:kern w:val="0"/>
          <w:sz w:val="32"/>
          <w:szCs w:val="32"/>
          <w:lang w:eastAsia="zh-CN"/>
        </w:rPr>
        <w:t>（</w:t>
      </w:r>
      <w:r>
        <w:rPr>
          <w:rFonts w:hint="eastAsia" w:ascii="Times New Roman" w:hAnsi="Times New Roman" w:eastAsia="仿宋_GB2312" w:cs="仿宋_GB2312"/>
          <w:spacing w:val="6"/>
          <w:kern w:val="0"/>
          <w:sz w:val="32"/>
          <w:szCs w:val="32"/>
          <w:lang w:val="en-US" w:eastAsia="zh-CN"/>
        </w:rPr>
        <w:t>2</w:t>
      </w:r>
      <w:r>
        <w:rPr>
          <w:rFonts w:hint="eastAsia" w:ascii="Times New Roman" w:hAnsi="Times New Roman" w:eastAsia="仿宋_GB2312" w:cs="仿宋_GB2312"/>
          <w:spacing w:val="6"/>
          <w:kern w:val="0"/>
          <w:sz w:val="32"/>
          <w:szCs w:val="32"/>
          <w:lang w:eastAsia="zh-CN"/>
        </w:rPr>
        <w:t>）</w:t>
      </w:r>
      <w:r>
        <w:rPr>
          <w:rFonts w:hint="eastAsia" w:ascii="Times New Roman" w:hAnsi="Times New Roman" w:eastAsia="仿宋_GB2312" w:cs="仿宋_GB2312"/>
          <w:b w:val="0"/>
          <w:bCs/>
          <w:sz w:val="32"/>
          <w:szCs w:val="32"/>
        </w:rPr>
        <w:t>专项组织情况分析</w:t>
      </w:r>
      <w:r>
        <w:rPr>
          <w:rFonts w:hint="eastAsia" w:ascii="Times New Roman" w:hAnsi="Times New Roman" w:eastAsia="仿宋_GB2312" w:cs="仿宋_GB2312"/>
          <w:b w:val="0"/>
          <w:bCs/>
          <w:sz w:val="32"/>
          <w:szCs w:val="32"/>
          <w:lang w:eastAsia="zh-CN"/>
        </w:rPr>
        <w:t>。</w:t>
      </w:r>
      <w:r>
        <w:rPr>
          <w:rFonts w:hint="eastAsia" w:ascii="Times New Roman" w:hAnsi="Times New Roman" w:eastAsia="仿宋_GB2312" w:cs="仿宋_GB2312"/>
          <w:sz w:val="32"/>
          <w:szCs w:val="32"/>
          <w:lang w:eastAsia="zh-CN"/>
        </w:rPr>
        <w:t>完成了2025年度项目预算绩效目标申报，将各专项纳入绩效管理，明确了主体责任。各项目责任部门在项目的实施过程中制定了项目实施方案，成立了项目领导小组，强化了项目管理组织领导。工程建设项目主要是第四届旅发大会市容市貌提质改造项目、船舶垃圾收集、城区燃气管道老化更新改造工程、主城区桥梁加固维修工程、蛇皮套和三大湖整治、市中心城区春节氛围营造、鲜花一条街生产维护等项目，都严格履行了政府采购和招投标手续，政府采购限额以下的项目均严格按政府采购交易程序实施。（</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 w:val="0"/>
          <w:bCs/>
          <w:sz w:val="32"/>
          <w:szCs w:val="32"/>
        </w:rPr>
        <w:t>专项管理情况分析</w:t>
      </w:r>
      <w:r>
        <w:rPr>
          <w:rFonts w:hint="eastAsia" w:ascii="Times New Roman" w:hAnsi="Times New Roman" w:eastAsia="仿宋_GB2312" w:cs="仿宋_GB2312"/>
          <w:b w:val="0"/>
          <w:bCs/>
          <w:sz w:val="32"/>
          <w:szCs w:val="32"/>
          <w:lang w:eastAsia="zh-CN"/>
        </w:rPr>
        <w:t>。</w:t>
      </w:r>
      <w:r>
        <w:rPr>
          <w:rFonts w:hint="eastAsia" w:ascii="Times New Roman" w:hAnsi="Times New Roman" w:eastAsia="仿宋_GB2312" w:cs="仿宋_GB2312"/>
          <w:sz w:val="32"/>
          <w:szCs w:val="32"/>
        </w:rPr>
        <w:t>实行项目事前申报、事中监督、事后审计的管理模式，符合规定范围的项目。事前必须由实施单位向市城管局分管领导报告后方可实施；在实施过程中，根据相关规定，由市城管局相关业务科室和审计科进行跟进监管；项目完成后，由实施单位向市城管局提交经费使用申请书面报告和项目决算，书面报告内容包括申报理由、依据、项目实施效果等，重大事项经市城管局党组研究决定后，报分管财务领导审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Cs/>
          <w:sz w:val="32"/>
          <w:szCs w:val="32"/>
          <w:highlight w:val="none"/>
          <w:lang w:val="en-US" w:eastAsia="zh-CN"/>
        </w:rPr>
        <w:t>资产管理情况。按照厉行节约、物尽其用的原则，资产管理采取统一建帐、统一核算管理。对每件固定资产使用明确保管职责，闲置的资产，由局办公室统一调整，合理流动，发挥其效益。固定资产配置和处置，均按市国有资产管理相关规定程序办理，并严格按固定资产管理办法进行核算及管理。开展“三资”清查和资产盘点，于2025年10月和12月分别进行了两次国有资产自查工作，及时清点了闲置及出租出借资产信息，落实资产权属问题，进一步明晰产权、提高资产使用率。并根据本单位实际情况，修订了资产管理制度，加强实物管理。（5）</w:t>
      </w:r>
      <w:r>
        <w:rPr>
          <w:rFonts w:hint="eastAsia" w:ascii="Times New Roman" w:hAnsi="Times New Roman" w:eastAsia="仿宋_GB2312" w:cs="仿宋_GB2312"/>
          <w:sz w:val="32"/>
          <w:szCs w:val="32"/>
          <w:lang w:val="en-US" w:eastAsia="zh-CN"/>
        </w:rPr>
        <w:t>资金管理情况。本单位专项资金管理按资金用途专款专用，各专项间独立核算，严禁混用。严格按照专项资金批准计划使用，不擅自调项、扩项、缩项，无拆借、挪用和挤占，对每笔专项资金的支付严格执行财务制度，落实专项资金审核程序。对专项资金的使用流程进行监督，定期查看财务报表检查专项资金使用情况。</w:t>
      </w:r>
      <w:r>
        <w:rPr>
          <w:rFonts w:hint="eastAsia" w:ascii="Times New Roman" w:hAnsi="Times New Roman" w:eastAsia="仿宋_GB2312" w:cs="仿宋_GB2312"/>
          <w:bCs/>
          <w:sz w:val="32"/>
          <w:szCs w:val="32"/>
          <w:lang w:eastAsia="zh-CN"/>
        </w:rPr>
        <w:t>（</w:t>
      </w:r>
      <w:r>
        <w:rPr>
          <w:rFonts w:hint="eastAsia" w:ascii="Times New Roman" w:hAnsi="Times New Roman" w:eastAsia="仿宋_GB2312" w:cs="仿宋_GB2312"/>
          <w:bCs/>
          <w:sz w:val="32"/>
          <w:szCs w:val="32"/>
          <w:lang w:val="en-US" w:eastAsia="zh-CN"/>
        </w:rPr>
        <w:t>6</w:t>
      </w:r>
      <w:r>
        <w:rPr>
          <w:rFonts w:hint="eastAsia" w:ascii="Times New Roman" w:hAnsi="Times New Roman" w:eastAsia="仿宋_GB2312" w:cs="仿宋_GB2312"/>
          <w:bCs/>
          <w:sz w:val="32"/>
          <w:szCs w:val="32"/>
          <w:lang w:eastAsia="zh-CN"/>
        </w:rPr>
        <w:t>）</w:t>
      </w:r>
      <w:r>
        <w:rPr>
          <w:rFonts w:hint="eastAsia" w:ascii="Times New Roman" w:hAnsi="Times New Roman" w:eastAsia="仿宋_GB2312" w:cs="仿宋_GB2312"/>
          <w:bCs/>
          <w:sz w:val="32"/>
          <w:szCs w:val="32"/>
          <w:highlight w:val="none"/>
          <w:lang w:val="en-US" w:eastAsia="zh-CN"/>
        </w:rPr>
        <w:t>运行成本和管理效率。</w:t>
      </w:r>
      <w:r>
        <w:rPr>
          <w:rFonts w:hint="eastAsia" w:ascii="Times New Roman" w:hAnsi="Times New Roman" w:eastAsia="仿宋_GB2312" w:cs="仿宋_GB2312"/>
          <w:sz w:val="32"/>
          <w:szCs w:val="32"/>
          <w:highlight w:val="none"/>
          <w:lang w:val="en-US" w:eastAsia="zh-CN"/>
        </w:rPr>
        <w:t>2025年，部门全年预算金额为</w:t>
      </w:r>
      <w:r>
        <w:rPr>
          <w:rFonts w:hint="eastAsia" w:ascii="Times New Roman" w:hAnsi="Times New Roman" w:eastAsia="仿宋" w:cs="仿宋"/>
          <w:sz w:val="32"/>
          <w:szCs w:val="32"/>
          <w:highlight w:val="none"/>
          <w:lang w:val="en-US" w:eastAsia="zh-CN"/>
        </w:rPr>
        <w:t>17692.76</w:t>
      </w:r>
      <w:r>
        <w:rPr>
          <w:rFonts w:hint="eastAsia" w:ascii="Times New Roman" w:hAnsi="Times New Roman" w:eastAsia="仿宋_GB2312" w:cs="仿宋_GB2312"/>
          <w:sz w:val="32"/>
          <w:szCs w:val="32"/>
          <w:highlight w:val="none"/>
          <w:lang w:val="en-US" w:eastAsia="zh-CN"/>
        </w:rPr>
        <w:t>万元，实际</w:t>
      </w:r>
      <w:r>
        <w:rPr>
          <w:rFonts w:hint="eastAsia" w:ascii="Times New Roman" w:hAnsi="Times New Roman" w:eastAsia="仿宋" w:cs="仿宋"/>
          <w:sz w:val="32"/>
          <w:szCs w:val="32"/>
          <w:highlight w:val="none"/>
          <w:lang w:val="en-US" w:eastAsia="zh-CN"/>
        </w:rPr>
        <w:t>支出金额为52195.31万元，其中基本支出16963.09万元，项目支出35232.22万元，年度预算执行率为100%。</w:t>
      </w:r>
    </w:p>
    <w:p w14:paraId="7F730D2C">
      <w:pPr>
        <w:overflowPunct w:val="0"/>
        <w:spacing w:line="60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w:t>
      </w:r>
      <w:r>
        <w:rPr>
          <w:rFonts w:hint="eastAsia" w:ascii="Times New Roman" w:hAnsi="Times New Roman" w:eastAsia="仿宋_GB2312" w:cs="Times New Roman"/>
          <w:kern w:val="0"/>
          <w:sz w:val="32"/>
          <w:szCs w:val="32"/>
          <w:highlight w:val="none"/>
        </w:rPr>
        <w:t>“市城区主要道路人行道海绵城市生态提质改造”“城管事务管理经费”“市容环境管理维护经费”“市政维护专项经费（含日常工作经费）”“路灯及公用亮化设施维护费”“2025年城市事件和部件采集服务费”“罗家坳无害化处理场渗滤液处理系统运营服务”“单位协管员经费(其他人员类支出)、城管事务经费(日常工作经费)”等41个项目开展了部门评价，涉及一般公共预算支出30218.02万元，政府性基金预算支出0万元，国有资本经营预算支出0万元，社会保险基金预算支出0万元。</w:t>
      </w:r>
    </w:p>
    <w:p w14:paraId="5420222E">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kern w:val="0"/>
          <w:sz w:val="32"/>
          <w:szCs w:val="32"/>
        </w:rPr>
        <w:t>本单位及所属单位本年度未新增重大政策和重大项目，所以无事前绩效评估开展情况。</w:t>
      </w:r>
    </w:p>
    <w:p w14:paraId="5D95A94A">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649E5BE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ascii="Times New Roman" w:hAnsi="Times New Roman" w:eastAsia="仿宋_GB2312" w:cs="Times New Roman"/>
          <w:sz w:val="32"/>
          <w:szCs w:val="32"/>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17692.76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52195.31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99.16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优秀</w:t>
      </w:r>
      <w:r>
        <w:rPr>
          <w:rFonts w:ascii="Times New Roman" w:hAnsi="Times New Roman" w:eastAsia="仿宋_GB2312" w:cs="Times New Roman"/>
          <w:sz w:val="32"/>
          <w:szCs w:val="32"/>
        </w:rPr>
        <w:t>”。绩效目标完成情况：</w:t>
      </w:r>
    </w:p>
    <w:p w14:paraId="0CF286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楷体_GB2312" w:hAnsi="楷体_GB2312" w:eastAsia="楷体_GB2312" w:cs="Times New Roman"/>
          <w:b/>
          <w:bCs/>
          <w:color w:val="000000" w:themeColor="text1"/>
          <w:sz w:val="32"/>
          <w:szCs w:val="32"/>
          <w:lang w:val="en-US" w:eastAsia="zh-CN"/>
          <w14:textFill>
            <w14:solidFill>
              <w14:schemeClr w14:val="tx1"/>
            </w14:solidFill>
          </w14:textFill>
        </w:rPr>
        <w:t>一是</w:t>
      </w:r>
      <w:r>
        <w:rPr>
          <w:rFonts w:hint="eastAsia" w:ascii="楷体_GB2312" w:hAnsi="楷体_GB2312" w:eastAsia="楷体_GB2312" w:cs="Times New Roman"/>
          <w:b/>
          <w:bCs/>
          <w:color w:val="000000" w:themeColor="text1"/>
          <w:sz w:val="32"/>
          <w:szCs w:val="32"/>
          <w:lang w:val="en-US" w:eastAsia="zh-CN"/>
          <w14:textFill>
            <w14:solidFill>
              <w14:schemeClr w14:val="tx1"/>
            </w14:solidFill>
          </w14:textFill>
        </w:rPr>
        <w:t>以举办旅发大会为契机，聚力完善城市功能配套。</w:t>
      </w:r>
      <w:r>
        <w:rPr>
          <w:rFonts w:hint="eastAsia" w:ascii="仿宋_GB2312" w:hAnsi="仿宋_GB2312" w:eastAsia="仿宋_GB2312" w:cs="仿宋_GB2312"/>
          <w:color w:val="000000" w:themeColor="text1"/>
          <w:sz w:val="32"/>
          <w:szCs w:val="32"/>
          <w14:textFill>
            <w14:solidFill>
              <w14:schemeClr w14:val="tx1"/>
            </w14:solidFill>
          </w14:textFill>
        </w:rPr>
        <w:t>按照“办一次会、兴一座城”</w:t>
      </w:r>
      <w:r>
        <w:rPr>
          <w:rFonts w:hint="eastAsia" w:ascii="仿宋_GB2312" w:hAnsi="仿宋_GB2312" w:eastAsia="仿宋_GB2312" w:cs="仿宋_GB2312"/>
          <w:color w:val="000000" w:themeColor="text1"/>
          <w:sz w:val="32"/>
          <w:szCs w:val="32"/>
          <w:lang w:eastAsia="zh-CN"/>
          <w14:textFill>
            <w14:solidFill>
              <w14:schemeClr w14:val="tx1"/>
            </w14:solidFill>
          </w14:textFill>
        </w:rPr>
        <w:t>的理念</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切实履行</w:t>
      </w:r>
      <w:r>
        <w:rPr>
          <w:rFonts w:hint="eastAsia" w:ascii="仿宋_GB2312" w:hAnsi="仿宋_GB2312" w:eastAsia="仿宋_GB2312" w:cs="仿宋_GB2312"/>
          <w:color w:val="000000" w:themeColor="text1"/>
          <w:sz w:val="32"/>
          <w:szCs w:val="32"/>
          <w14:textFill>
            <w14:solidFill>
              <w14:schemeClr w14:val="tx1"/>
            </w14:solidFill>
          </w14:textFill>
        </w:rPr>
        <w:t>省旅发大会城乡风貌</w:t>
      </w:r>
      <w:r>
        <w:rPr>
          <w:rFonts w:hint="eastAsia" w:ascii="仿宋_GB2312" w:hAnsi="仿宋_GB2312" w:eastAsia="仿宋_GB2312" w:cs="仿宋_GB2312"/>
          <w:color w:val="000000" w:themeColor="text1"/>
          <w:sz w:val="32"/>
          <w:szCs w:val="32"/>
          <w:lang w:eastAsia="zh-CN"/>
          <w14:textFill>
            <w14:solidFill>
              <w14:schemeClr w14:val="tx1"/>
            </w14:solidFill>
          </w14:textFill>
        </w:rPr>
        <w:t>组</w:t>
      </w:r>
      <w:r>
        <w:rPr>
          <w:rFonts w:hint="eastAsia" w:ascii="仿宋_GB2312" w:hAnsi="仿宋_GB2312" w:eastAsia="仿宋_GB2312" w:cs="仿宋_GB2312"/>
          <w:color w:val="000000" w:themeColor="text1"/>
          <w:sz w:val="32"/>
          <w:szCs w:val="32"/>
          <w14:textFill>
            <w14:solidFill>
              <w14:schemeClr w14:val="tx1"/>
            </w14:solidFill>
          </w14:textFill>
        </w:rPr>
        <w:t>牵头单位</w:t>
      </w:r>
      <w:r>
        <w:rPr>
          <w:rFonts w:hint="eastAsia" w:ascii="仿宋_GB2312" w:hAnsi="仿宋_GB2312" w:eastAsia="仿宋_GB2312" w:cs="仿宋_GB2312"/>
          <w:color w:val="000000" w:themeColor="text1"/>
          <w:sz w:val="32"/>
          <w:szCs w:val="32"/>
          <w:lang w:eastAsia="zh-CN"/>
          <w14:textFill>
            <w14:solidFill>
              <w14:schemeClr w14:val="tx1"/>
            </w14:solidFill>
          </w14:textFill>
        </w:rPr>
        <w:t>职责</w:t>
      </w:r>
      <w:r>
        <w:rPr>
          <w:rFonts w:hint="eastAsia" w:ascii="仿宋_GB2312" w:hAnsi="仿宋_GB2312" w:eastAsia="仿宋_GB2312" w:cs="仿宋_GB2312"/>
          <w:color w:val="000000" w:themeColor="text1"/>
          <w:sz w:val="32"/>
          <w:szCs w:val="32"/>
          <w14:textFill>
            <w14:solidFill>
              <w14:schemeClr w14:val="tx1"/>
            </w14:solidFill>
          </w14:textFill>
        </w:rPr>
        <w:t>，会同相关部门单位筹资3.2亿元实施城乡风貌提质“六大行动”，助力省旅发大会</w:t>
      </w:r>
      <w:r>
        <w:rPr>
          <w:rFonts w:hint="eastAsia" w:ascii="仿宋_GB2312" w:hAnsi="仿宋_GB2312" w:eastAsia="仿宋_GB2312" w:cs="仿宋_GB2312"/>
          <w:color w:val="000000" w:themeColor="text1"/>
          <w:sz w:val="32"/>
          <w:szCs w:val="32"/>
          <w:lang w:eastAsia="zh-CN"/>
          <w14:textFill>
            <w14:solidFill>
              <w14:schemeClr w14:val="tx1"/>
            </w14:solidFill>
          </w14:textFill>
        </w:rPr>
        <w:t>出新出彩</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翻新大修破损道桥，城市动脉焕颜升级。</w:t>
      </w:r>
      <w:r>
        <w:rPr>
          <w:rFonts w:hint="eastAsia" w:ascii="仿宋_GB2312" w:hAnsi="仿宋_GB2312" w:eastAsia="仿宋_GB2312" w:cs="仿宋_GB2312"/>
          <w:color w:val="000000" w:themeColor="text1"/>
          <w:sz w:val="32"/>
          <w:szCs w:val="32"/>
          <w14:textFill>
            <w14:solidFill>
              <w14:schemeClr w14:val="tx1"/>
            </w14:solidFill>
          </w14:textFill>
        </w:rPr>
        <w:t>对岳阳大道、金凤桥南路等8条道路进行了翻新，对洞庭大道、北港南路等4条道路进行了大修，改造后的道路既“好看”又“好走”。</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补绿增色扮靓节点，绘就红绿交织画卷。</w:t>
      </w:r>
      <w:r>
        <w:rPr>
          <w:rFonts w:hint="eastAsia" w:ascii="仿宋_GB2312" w:hAnsi="仿宋_GB2312" w:eastAsia="仿宋_GB2312" w:cs="仿宋_GB2312"/>
          <w:color w:val="000000" w:themeColor="text1"/>
          <w:sz w:val="32"/>
          <w:szCs w:val="32"/>
          <w14:textFill>
            <w14:solidFill>
              <w14:schemeClr w14:val="tx1"/>
            </w14:solidFill>
          </w14:textFill>
        </w:rPr>
        <w:t>新增绿地4</w:t>
      </w:r>
      <w:r>
        <w:rPr>
          <w:rFonts w:hint="eastAsia" w:ascii="仿宋_GB2312" w:hAnsi="仿宋_GB2312" w:eastAsia="仿宋_GB2312" w:cs="仿宋_GB2312"/>
          <w:color w:val="000000" w:themeColor="text1"/>
          <w:sz w:val="32"/>
          <w:szCs w:val="32"/>
          <w:lang w:eastAsia="zh-CN"/>
          <w14:textFill>
            <w14:solidFill>
              <w14:schemeClr w14:val="tx1"/>
            </w14:solidFill>
          </w14:textFill>
        </w:rPr>
        <w:t>万平方米</w:t>
      </w:r>
      <w:r>
        <w:rPr>
          <w:rFonts w:hint="eastAsia" w:ascii="仿宋_GB2312" w:hAnsi="仿宋_GB2312" w:eastAsia="仿宋_GB2312" w:cs="仿宋_GB2312"/>
          <w:color w:val="000000" w:themeColor="text1"/>
          <w:sz w:val="32"/>
          <w:szCs w:val="32"/>
          <w14:textFill>
            <w14:solidFill>
              <w14:schemeClr w14:val="tx1"/>
            </w14:solidFill>
          </w14:textFill>
        </w:rPr>
        <w:t>、补植行道树6000</w:t>
      </w:r>
      <w:r>
        <w:rPr>
          <w:rFonts w:hint="eastAsia" w:ascii="仿宋_GB2312" w:hAnsi="仿宋_GB2312" w:eastAsia="仿宋_GB2312" w:cs="仿宋_GB2312"/>
          <w:color w:val="000000" w:themeColor="text1"/>
          <w:sz w:val="32"/>
          <w:szCs w:val="32"/>
          <w:lang w:eastAsia="zh-CN"/>
          <w14:textFill>
            <w14:solidFill>
              <w14:schemeClr w14:val="tx1"/>
            </w14:solidFill>
          </w14:textFill>
        </w:rPr>
        <w:t>余</w:t>
      </w:r>
      <w:r>
        <w:rPr>
          <w:rFonts w:hint="eastAsia" w:ascii="仿宋_GB2312" w:hAnsi="仿宋_GB2312" w:eastAsia="仿宋_GB2312" w:cs="仿宋_GB2312"/>
          <w:color w:val="000000" w:themeColor="text1"/>
          <w:sz w:val="32"/>
          <w:szCs w:val="32"/>
          <w14:textFill>
            <w14:solidFill>
              <w14:schemeClr w14:val="tx1"/>
            </w14:solidFill>
          </w14:textFill>
        </w:rPr>
        <w:t>株，在岳阳大道、南湖广场等地匠心打造主题绿雕7处，在京港澳高速出入口、三荷机场等重要区域精心布设时令鲜花3万余盆，营造出</w:t>
      </w:r>
      <w:r>
        <w:rPr>
          <w:rFonts w:hint="eastAsia" w:ascii="仿宋_GB2312" w:hAnsi="仿宋_GB2312" w:eastAsia="仿宋_GB2312" w:cs="仿宋_GB2312"/>
          <w:color w:val="000000" w:themeColor="text1"/>
          <w:sz w:val="32"/>
          <w:szCs w:val="32"/>
          <w:lang w:eastAsia="zh-CN"/>
          <w14:textFill>
            <w14:solidFill>
              <w14:schemeClr w14:val="tx1"/>
            </w14:solidFill>
          </w14:textFill>
        </w:rPr>
        <w:t>喜迎</w:t>
      </w:r>
      <w:r>
        <w:rPr>
          <w:rFonts w:hint="eastAsia" w:ascii="仿宋_GB2312" w:hAnsi="仿宋_GB2312" w:eastAsia="仿宋_GB2312" w:cs="仿宋_GB2312"/>
          <w:color w:val="000000" w:themeColor="text1"/>
          <w:sz w:val="32"/>
          <w:szCs w:val="32"/>
          <w14:textFill>
            <w14:solidFill>
              <w14:schemeClr w14:val="tx1"/>
            </w14:solidFill>
          </w14:textFill>
        </w:rPr>
        <w:t>八方来客的浓厚氛围。</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提质改造景观亮化，城市夜景流光溢彩。</w:t>
      </w:r>
      <w:r>
        <w:rPr>
          <w:rFonts w:hint="eastAsia" w:ascii="仿宋_GB2312" w:hAnsi="仿宋_GB2312" w:eastAsia="仿宋_GB2312" w:cs="仿宋_GB2312"/>
          <w:color w:val="000000" w:themeColor="text1"/>
          <w:sz w:val="32"/>
          <w:szCs w:val="32"/>
          <w:lang w:eastAsia="zh-CN"/>
          <w14:textFill>
            <w14:solidFill>
              <w14:schemeClr w14:val="tx1"/>
            </w14:solidFill>
          </w14:textFill>
        </w:rPr>
        <w:t>完成</w:t>
      </w:r>
      <w:r>
        <w:rPr>
          <w:rFonts w:hint="eastAsia" w:ascii="仿宋_GB2312" w:hAnsi="仿宋_GB2312" w:eastAsia="仿宋_GB2312" w:cs="仿宋_GB2312"/>
          <w:color w:val="000000" w:themeColor="text1"/>
          <w:sz w:val="32"/>
          <w:szCs w:val="32"/>
          <w14:textFill>
            <w14:solidFill>
              <w14:schemeClr w14:val="tx1"/>
            </w14:solidFill>
          </w14:textFill>
        </w:rPr>
        <w:t>南湖广场、岳阳东站广场等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36</w:t>
      </w:r>
      <w:r>
        <w:rPr>
          <w:rFonts w:hint="eastAsia" w:ascii="仿宋_GB2312" w:hAnsi="仿宋_GB2312" w:eastAsia="仿宋_GB2312" w:cs="仿宋_GB2312"/>
          <w:color w:val="000000" w:themeColor="text1"/>
          <w:sz w:val="32"/>
          <w:szCs w:val="32"/>
          <w14:textFill>
            <w14:solidFill>
              <w14:schemeClr w14:val="tx1"/>
            </w14:solidFill>
          </w14:textFill>
        </w:rPr>
        <w:t>处景观照明提质改造</w:t>
      </w:r>
      <w:r>
        <w:rPr>
          <w:rFonts w:hint="eastAsia" w:ascii="仿宋_GB2312" w:hAnsi="仿宋_GB2312" w:eastAsia="仿宋_GB2312" w:cs="仿宋_GB2312"/>
          <w:color w:val="000000" w:themeColor="text1"/>
          <w:sz w:val="32"/>
          <w:szCs w:val="32"/>
          <w:lang w:eastAsia="zh-CN"/>
          <w14:textFill>
            <w14:solidFill>
              <w14:schemeClr w14:val="tx1"/>
            </w14:solidFill>
          </w14:textFill>
        </w:rPr>
        <w:t>；运用</w:t>
      </w:r>
      <w:r>
        <w:rPr>
          <w:rFonts w:hint="eastAsia" w:ascii="仿宋_GB2312" w:hAnsi="仿宋_GB2312" w:eastAsia="仿宋_GB2312" w:cs="仿宋_GB2312"/>
          <w:color w:val="000000" w:themeColor="text1"/>
          <w:sz w:val="32"/>
          <w:szCs w:val="32"/>
          <w14:textFill>
            <w14:solidFill>
              <w14:schemeClr w14:val="tx1"/>
            </w14:solidFill>
          </w14:textFill>
        </w:rPr>
        <w:t>点光源和线型灯等技术对步行街友阿大厦</w:t>
      </w:r>
      <w:r>
        <w:rPr>
          <w:rFonts w:hint="eastAsia" w:ascii="仿宋_GB2312" w:hAnsi="仿宋_GB2312" w:eastAsia="仿宋_GB2312" w:cs="仿宋_GB2312"/>
          <w:color w:val="000000" w:themeColor="text1"/>
          <w:sz w:val="32"/>
          <w:szCs w:val="32"/>
          <w:lang w:eastAsia="zh-CN"/>
          <w14:textFill>
            <w14:solidFill>
              <w14:schemeClr w14:val="tx1"/>
            </w14:solidFill>
          </w14:textFill>
        </w:rPr>
        <w:t>进行</w:t>
      </w:r>
      <w:r>
        <w:rPr>
          <w:rFonts w:hint="eastAsia" w:ascii="仿宋_GB2312" w:hAnsi="仿宋_GB2312" w:eastAsia="仿宋_GB2312" w:cs="仿宋_GB2312"/>
          <w:color w:val="000000" w:themeColor="text1"/>
          <w:sz w:val="32"/>
          <w:szCs w:val="32"/>
          <w14:textFill>
            <w14:solidFill>
              <w14:schemeClr w14:val="tx1"/>
            </w14:solidFill>
          </w14:textFill>
        </w:rPr>
        <w:t>造景亮化</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在洞庭南路与巴陵西路交汇处建设显示面积达500平方米的裸眼3D屏</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成为城市夜景新亮点</w:t>
      </w:r>
      <w:r>
        <w:rPr>
          <w:rFonts w:hint="eastAsia" w:ascii="仿宋_GB2312" w:hAnsi="仿宋_GB2312" w:eastAsia="仿宋_GB2312" w:cs="仿宋_GB2312"/>
          <w:color w:val="000000" w:themeColor="text1"/>
          <w:sz w:val="32"/>
          <w:szCs w:val="32"/>
          <w:lang w:eastAsia="zh-CN"/>
          <w14:textFill>
            <w14:solidFill>
              <w14:schemeClr w14:val="tx1"/>
            </w14:solidFill>
          </w14:textFill>
        </w:rPr>
        <w:t>、新地标</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提升公厕建管水平，彰显城市文明温度。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组织</w:t>
      </w:r>
      <w:r>
        <w:rPr>
          <w:rFonts w:hint="eastAsia" w:ascii="仿宋_GB2312" w:hAnsi="仿宋_GB2312" w:eastAsia="仿宋_GB2312" w:cs="仿宋_GB2312"/>
          <w:color w:val="000000" w:themeColor="text1"/>
          <w:sz w:val="32"/>
          <w:szCs w:val="32"/>
          <w14:textFill>
            <w14:solidFill>
              <w14:schemeClr w14:val="tx1"/>
            </w14:solidFill>
          </w14:textFill>
        </w:rPr>
        <w:t>提质改造公厕191座，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新建智慧公厕、智慧公交驿站、高标准示范公厕共计18座，</w:t>
      </w:r>
      <w:r>
        <w:rPr>
          <w:rFonts w:hint="eastAsia" w:ascii="仿宋_GB2312" w:hAnsi="仿宋_GB2312" w:eastAsia="仿宋_GB2312" w:cs="仿宋_GB2312"/>
          <w:color w:val="000000" w:themeColor="text1"/>
          <w:sz w:val="32"/>
          <w:szCs w:val="32"/>
          <w:lang w:eastAsia="zh-CN"/>
          <w14:textFill>
            <w14:solidFill>
              <w14:schemeClr w14:val="tx1"/>
            </w14:solidFill>
          </w14:textFill>
        </w:rPr>
        <w:t>实现</w:t>
      </w:r>
      <w:r>
        <w:rPr>
          <w:rFonts w:hint="eastAsia" w:ascii="仿宋_GB2312" w:hAnsi="仿宋_GB2312" w:eastAsia="仿宋_GB2312" w:cs="仿宋_GB2312"/>
          <w:color w:val="000000" w:themeColor="text1"/>
          <w:sz w:val="32"/>
          <w:szCs w:val="32"/>
          <w14:textFill>
            <w14:solidFill>
              <w14:schemeClr w14:val="tx1"/>
            </w14:solidFill>
          </w14:textFill>
        </w:rPr>
        <w:t>硬件设施</w:t>
      </w:r>
      <w:r>
        <w:rPr>
          <w:rFonts w:hint="eastAsia" w:ascii="仿宋_GB2312" w:hAnsi="仿宋_GB2312" w:eastAsia="仿宋_GB2312" w:cs="仿宋_GB2312"/>
          <w:color w:val="000000" w:themeColor="text1"/>
          <w:sz w:val="32"/>
          <w:szCs w:val="32"/>
          <w:lang w:eastAsia="zh-CN"/>
          <w14:textFill>
            <w14:solidFill>
              <w14:schemeClr w14:val="tx1"/>
            </w14:solidFill>
          </w14:textFill>
        </w:rPr>
        <w:t>与</w:t>
      </w:r>
      <w:r>
        <w:rPr>
          <w:rFonts w:hint="eastAsia" w:ascii="仿宋_GB2312" w:hAnsi="仿宋_GB2312" w:eastAsia="仿宋_GB2312" w:cs="仿宋_GB2312"/>
          <w:color w:val="000000" w:themeColor="text1"/>
          <w:sz w:val="32"/>
          <w:szCs w:val="32"/>
          <w14:textFill>
            <w14:solidFill>
              <w14:schemeClr w14:val="tx1"/>
            </w14:solidFill>
          </w14:textFill>
        </w:rPr>
        <w:t>服务质量</w:t>
      </w:r>
      <w:r>
        <w:rPr>
          <w:rFonts w:hint="eastAsia" w:ascii="仿宋_GB2312" w:hAnsi="仿宋_GB2312" w:eastAsia="仿宋_GB2312" w:cs="仿宋_GB2312"/>
          <w:color w:val="000000" w:themeColor="text1"/>
          <w:sz w:val="32"/>
          <w:szCs w:val="32"/>
          <w:lang w:eastAsia="zh-CN"/>
          <w14:textFill>
            <w14:solidFill>
              <w14:schemeClr w14:val="tx1"/>
            </w14:solidFill>
          </w14:textFill>
        </w:rPr>
        <w:t>双</w:t>
      </w:r>
      <w:r>
        <w:rPr>
          <w:rFonts w:hint="eastAsia" w:ascii="仿宋_GB2312" w:hAnsi="仿宋_GB2312" w:eastAsia="仿宋_GB2312" w:cs="仿宋_GB2312"/>
          <w:color w:val="000000" w:themeColor="text1"/>
          <w:sz w:val="32"/>
          <w:szCs w:val="32"/>
          <w14:textFill>
            <w14:solidFill>
              <w14:schemeClr w14:val="tx1"/>
            </w14:solidFill>
          </w14:textFill>
        </w:rPr>
        <w:t>提升</w:t>
      </w:r>
      <w:r>
        <w:rPr>
          <w:rFonts w:hint="eastAsia" w:ascii="仿宋_GB2312" w:hAnsi="仿宋_GB2312" w:eastAsia="仿宋_GB2312" w:cs="仿宋_GB2312"/>
          <w:color w:val="000000" w:themeColor="text1"/>
          <w:sz w:val="32"/>
          <w:szCs w:val="32"/>
          <w:lang w:eastAsia="zh-CN"/>
          <w14:textFill>
            <w14:solidFill>
              <w14:schemeClr w14:val="tx1"/>
            </w14:solidFill>
          </w14:textFill>
        </w:rPr>
        <w:t>，得到</w:t>
      </w:r>
      <w:r>
        <w:rPr>
          <w:rFonts w:hint="eastAsia" w:ascii="仿宋_GB2312" w:hAnsi="仿宋_GB2312" w:eastAsia="仿宋_GB2312" w:cs="仿宋_GB2312"/>
          <w:color w:val="000000" w:themeColor="text1"/>
          <w:sz w:val="32"/>
          <w:szCs w:val="32"/>
          <w14:textFill>
            <w14:solidFill>
              <w14:schemeClr w14:val="tx1"/>
            </w14:solidFill>
          </w14:textFill>
        </w:rPr>
        <w:t>市民和游客</w:t>
      </w:r>
      <w:r>
        <w:rPr>
          <w:rFonts w:hint="eastAsia" w:ascii="仿宋_GB2312" w:hAnsi="仿宋_GB2312" w:eastAsia="仿宋_GB2312" w:cs="仿宋_GB2312"/>
          <w:color w:val="000000" w:themeColor="text1"/>
          <w:sz w:val="32"/>
          <w:szCs w:val="32"/>
          <w:lang w:eastAsia="zh-CN"/>
          <w14:textFill>
            <w14:solidFill>
              <w14:schemeClr w14:val="tx1"/>
            </w14:solidFill>
          </w14:textFill>
        </w:rPr>
        <w:t>广泛</w:t>
      </w:r>
      <w:r>
        <w:rPr>
          <w:rFonts w:hint="eastAsia" w:ascii="仿宋_GB2312" w:hAnsi="仿宋_GB2312" w:eastAsia="仿宋_GB2312" w:cs="仿宋_GB2312"/>
          <w:color w:val="000000" w:themeColor="text1"/>
          <w:sz w:val="32"/>
          <w:szCs w:val="32"/>
          <w14:textFill>
            <w14:solidFill>
              <w14:schemeClr w14:val="tx1"/>
            </w14:solidFill>
          </w14:textFill>
        </w:rPr>
        <w:t>好评。</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精心打造文化名片，展示城市文化底蕴。</w:t>
      </w:r>
      <w:r>
        <w:rPr>
          <w:rFonts w:hint="eastAsia" w:ascii="仿宋_GB2312" w:hAnsi="仿宋_GB2312" w:eastAsia="仿宋_GB2312" w:cs="仿宋_GB2312"/>
          <w:color w:val="000000" w:themeColor="text1"/>
          <w:sz w:val="32"/>
          <w:szCs w:val="32"/>
          <w14:textFill>
            <w14:solidFill>
              <w14:schemeClr w14:val="tx1"/>
            </w14:solidFill>
          </w14:textFill>
        </w:rPr>
        <w:t>更新融入麋鹿、江豚、岳阳楼等</w:t>
      </w:r>
      <w:r>
        <w:rPr>
          <w:rFonts w:hint="eastAsia" w:ascii="仿宋_GB2312" w:hAnsi="仿宋_GB2312" w:eastAsia="仿宋_GB2312" w:cs="仿宋_GB2312"/>
          <w:color w:val="000000" w:themeColor="text1"/>
          <w:sz w:val="32"/>
          <w:szCs w:val="32"/>
          <w:lang w:eastAsia="zh-CN"/>
          <w14:textFill>
            <w14:solidFill>
              <w14:schemeClr w14:val="tx1"/>
            </w14:solidFill>
          </w14:textFill>
        </w:rPr>
        <w:t>岳阳</w:t>
      </w:r>
      <w:r>
        <w:rPr>
          <w:rFonts w:hint="eastAsia" w:ascii="仿宋_GB2312" w:hAnsi="仿宋_GB2312" w:eastAsia="仿宋_GB2312" w:cs="仿宋_GB2312"/>
          <w:color w:val="000000" w:themeColor="text1"/>
          <w:sz w:val="32"/>
          <w:szCs w:val="32"/>
          <w14:textFill>
            <w14:solidFill>
              <w14:schemeClr w14:val="tx1"/>
            </w14:solidFill>
          </w14:textFill>
        </w:rPr>
        <w:t>元素</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文化护栏3.56万米，成为流动的岳阳文化窗口。在80块大型广告牌、16处电子屏、20座人行天桥投放“大美江湖，天下岳阳”等主题宣传标语，充分展示岳阳独特魅力。依法拆除</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631处户外广告</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擦亮城市“天际线”。</w:t>
      </w:r>
    </w:p>
    <w:p w14:paraId="7E2265B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二是</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以开展污染防治为抓手，奋力守护城市蓝天碧水。</w:t>
      </w:r>
      <w:r>
        <w:rPr>
          <w:rFonts w:hint="eastAsia" w:ascii="Times New Roman" w:hAnsi="Times New Roman" w:eastAsia="仿宋_GB2312" w:cs="Times New Roman"/>
          <w:sz w:val="32"/>
          <w:szCs w:val="32"/>
        </w:rPr>
        <w:t>切实扛牢“守护好一江碧水”政治责任，以高品质生态环境支撑城市管理高质量发展，助力建设天更蓝、地更绿、水更清的美丽岳阳。</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稳步推进生活垃圾分类。</w:t>
      </w:r>
      <w:r>
        <w:rPr>
          <w:rFonts w:hint="eastAsia" w:ascii="Times New Roman" w:hAnsi="Times New Roman" w:eastAsia="仿宋_GB2312" w:cs="Times New Roman"/>
          <w:sz w:val="32"/>
          <w:szCs w:val="32"/>
        </w:rPr>
        <w:t>举办“垃圾分类宣传周”、垃圾分类达人演讲比赛等大型活动。积极探索“垃圾分类+”模式，将其与湘超联赛、文明城市建设、志愿服务等活动深度融合，群众参与度和社会认同感显著增强。我市因垃圾分类工作成效突出，在全省“城管进社区”暨城市管理工作现场会上作典型推介。</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认真开展餐饮油烟管控。</w:t>
      </w:r>
      <w:r>
        <w:rPr>
          <w:rFonts w:hint="eastAsia" w:ascii="Times New Roman" w:hAnsi="Times New Roman" w:eastAsia="仿宋_GB2312" w:cs="Times New Roman"/>
          <w:sz w:val="32"/>
          <w:szCs w:val="32"/>
        </w:rPr>
        <w:t>新购置油烟检测仪8台，补齐专业设备短板；聚焦“五禁一劝”要求，开展专项整治行动46次，取缔违规露天烧烤摊点30处，查处露天熏制行为97起，形成“处罚一个、警示一片”的效果。</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全力落实飞灰管控要求。</w:t>
      </w:r>
      <w:r>
        <w:rPr>
          <w:rFonts w:hint="eastAsia" w:ascii="Times New Roman" w:hAnsi="Times New Roman" w:eastAsia="仿宋_GB2312" w:cs="Times New Roman"/>
          <w:sz w:val="32"/>
          <w:szCs w:val="32"/>
        </w:rPr>
        <w:t>指导湘阴县、汨罗市完成飞灰不规范堆存问题整改；督导平江县、华容县、汨罗市、岳阳锦能公司全力落实飞灰资源化利用“4000+N”吨任务；云溪区罗家坳垃圾填埋场进场飞灰全部得到规范填埋。</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多管齐下治理建筑垃圾。</w:t>
      </w:r>
      <w:r>
        <w:rPr>
          <w:rFonts w:hint="eastAsia" w:ascii="Times New Roman" w:hAnsi="Times New Roman" w:eastAsia="仿宋_GB2312" w:cs="Times New Roman"/>
          <w:sz w:val="32"/>
          <w:szCs w:val="32"/>
        </w:rPr>
        <w:t>出台《岳阳市建筑垃圾联单管理制度（试行）》等文件。深入开展城市建筑垃圾治理百日攻坚行动，立案171件，清理存量建筑垃圾5万余吨。与市城投集团、北京建工资源公司签订框架合作协议，为推进市中心城区建筑垃圾资源化利用项目建设明确了路径。</w:t>
      </w:r>
    </w:p>
    <w:p w14:paraId="4BDD13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0" w:afterAutospacing="0"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三是以实施精细管理为主线，努力刷新城市颜值气质。</w:t>
      </w:r>
      <w:r>
        <w:rPr>
          <w:rFonts w:hint="eastAsia" w:ascii="仿宋_GB2312" w:hAnsi="仿宋_GB2312" w:eastAsia="仿宋_GB2312" w:cs="仿宋_GB2312"/>
          <w:color w:val="000000" w:themeColor="text1"/>
          <w:sz w:val="32"/>
          <w:szCs w:val="32"/>
          <w:highlight w:val="none"/>
          <w14:textFill>
            <w14:solidFill>
              <w14:schemeClr w14:val="tx1"/>
            </w14:solidFill>
          </w14:textFill>
        </w:rPr>
        <w:t>秉承精心、精细、精致理念，坚持问题导向、结果导向，补短板、强弱项、消盲区，持续提升城市</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颜值气质</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环卫保障更加高效。</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认真办好</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“整治拖欠环卫工人工资”民生实事，未发生拖欠环卫工人工资问题，让环卫工人有保障、有干劲。</w:t>
      </w:r>
      <w:r>
        <w:rPr>
          <w:rFonts w:hint="eastAsia" w:ascii="仿宋_GB2312" w:hAnsi="仿宋_GB2312" w:eastAsia="仿宋_GB2312" w:cs="仿宋_GB2312"/>
          <w:color w:val="000000" w:themeColor="text1"/>
          <w:sz w:val="32"/>
          <w:szCs w:val="32"/>
          <w:highlight w:val="none"/>
          <w14:textFill>
            <w14:solidFill>
              <w14:schemeClr w14:val="tx1"/>
            </w14:solidFill>
          </w14:textFill>
        </w:rPr>
        <w:t>市中心城区大型垃圾中转站高效运转，</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全年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转运</w:t>
      </w:r>
      <w:r>
        <w:rPr>
          <w:rFonts w:hint="eastAsia" w:ascii="仿宋_GB2312" w:hAnsi="仿宋_GB2312" w:eastAsia="仿宋_GB2312" w:cs="仿宋_GB2312"/>
          <w:color w:val="000000" w:themeColor="text1"/>
          <w:sz w:val="32"/>
          <w:szCs w:val="32"/>
          <w:highlight w:val="none"/>
          <w14:textFill>
            <w14:solidFill>
              <w14:schemeClr w14:val="tx1"/>
            </w14:solidFill>
          </w14:textFill>
        </w:rPr>
        <w:t>生活垃圾</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37</w:t>
      </w:r>
      <w:r>
        <w:rPr>
          <w:rFonts w:hint="eastAsia" w:ascii="仿宋_GB2312" w:hAnsi="仿宋_GB2312" w:eastAsia="仿宋_GB2312" w:cs="仿宋_GB2312"/>
          <w:color w:val="000000" w:themeColor="text1"/>
          <w:sz w:val="32"/>
          <w:szCs w:val="32"/>
          <w:highlight w:val="none"/>
          <w14:textFill>
            <w14:solidFill>
              <w14:schemeClr w14:val="tx1"/>
            </w14:solidFill>
          </w14:textFill>
        </w:rPr>
        <w:t>万吨、餐厨垃圾</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12.2</w:t>
      </w:r>
      <w:r>
        <w:rPr>
          <w:rFonts w:hint="eastAsia" w:ascii="仿宋_GB2312" w:hAnsi="仿宋_GB2312" w:eastAsia="仿宋_GB2312" w:cs="仿宋_GB2312"/>
          <w:color w:val="000000" w:themeColor="text1"/>
          <w:sz w:val="32"/>
          <w:szCs w:val="32"/>
          <w:highlight w:val="none"/>
          <w14:textFill>
            <w14:solidFill>
              <w14:schemeClr w14:val="tx1"/>
            </w14:solidFill>
          </w14:textFill>
        </w:rPr>
        <w:t>万吨</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市静脉产业园全年焚烧生活垃圾52万吨、并网发电1.9亿度，资源化处置餐厨垃圾5.28万吨，规范化处置医疗废物3900余吨</w:t>
      </w:r>
      <w:r>
        <w:rPr>
          <w:rFonts w:hint="eastAsia" w:ascii="仿宋_GB2312" w:hAnsi="仿宋_GB2312" w:eastAsia="仿宋_GB2312" w:cs="仿宋_GB2312"/>
          <w:color w:val="000000" w:themeColor="text1"/>
          <w:sz w:val="32"/>
          <w:szCs w:val="32"/>
          <w:highlight w:val="none"/>
          <w14:textFill>
            <w14:solidFill>
              <w14:schemeClr w14:val="tx1"/>
            </w14:solidFill>
          </w14:textFill>
        </w:rPr>
        <w:t>。花果畈垃圾填埋场</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全年</w:t>
      </w:r>
      <w:r>
        <w:rPr>
          <w:rFonts w:hint="eastAsia" w:ascii="仿宋_GB2312" w:hAnsi="仿宋_GB2312" w:eastAsia="仿宋_GB2312" w:cs="仿宋_GB2312"/>
          <w:color w:val="000000" w:themeColor="text1"/>
          <w:sz w:val="32"/>
          <w:szCs w:val="32"/>
          <w:highlight w:val="none"/>
          <w14:textFill>
            <w14:solidFill>
              <w14:schemeClr w14:val="tx1"/>
            </w14:solidFill>
          </w14:textFill>
        </w:rPr>
        <w:t>全</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量化</w:t>
      </w:r>
      <w:r>
        <w:rPr>
          <w:rFonts w:hint="eastAsia" w:ascii="仿宋_GB2312" w:hAnsi="仿宋_GB2312" w:eastAsia="仿宋_GB2312" w:cs="仿宋_GB2312"/>
          <w:color w:val="000000" w:themeColor="text1"/>
          <w:sz w:val="32"/>
          <w:szCs w:val="32"/>
          <w:highlight w:val="none"/>
          <w14:textFill>
            <w14:solidFill>
              <w14:schemeClr w14:val="tx1"/>
            </w14:solidFill>
          </w14:textFill>
        </w:rPr>
        <w:t>处置垃圾渗滤液</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highlight w:val="none"/>
          <w14:textFill>
            <w14:solidFill>
              <w14:schemeClr w14:val="tx1"/>
            </w14:solidFill>
          </w14:textFill>
        </w:rPr>
        <w:t>万吨。</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市政设施更加完善。</w:t>
      </w:r>
      <w:r>
        <w:rPr>
          <w:rFonts w:hint="eastAsia" w:ascii="仿宋_GB2312" w:hAnsi="仿宋_GB2312" w:eastAsia="仿宋_GB2312" w:cs="仿宋_GB2312"/>
          <w:color w:val="000000" w:themeColor="text1"/>
          <w:sz w:val="32"/>
          <w:szCs w:val="32"/>
          <w:highlight w:val="none"/>
          <w14:textFill>
            <w14:solidFill>
              <w14:schemeClr w14:val="tx1"/>
            </w14:solidFill>
          </w14:textFill>
        </w:rPr>
        <w:t>完成道路路面维修1.6万平方米、人行道维修3.7万平方米，维修更换各类检查井、雨水窗1400套，清淤疏浚排水管网23万米，清理桥梁伸缩缝超3</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9</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万</w:t>
      </w:r>
      <w:r>
        <w:rPr>
          <w:rFonts w:hint="eastAsia" w:ascii="仿宋_GB2312" w:hAnsi="仿宋_GB2312" w:eastAsia="仿宋_GB2312" w:cs="仿宋_GB2312"/>
          <w:color w:val="000000" w:themeColor="text1"/>
          <w:sz w:val="32"/>
          <w:szCs w:val="32"/>
          <w:highlight w:val="none"/>
          <w14:textFill>
            <w14:solidFill>
              <w14:schemeClr w14:val="tx1"/>
            </w14:solidFill>
          </w14:textFill>
        </w:rPr>
        <w:t>米；对桐子岭、城东南路等泵站关键设备进行</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了</w:t>
      </w:r>
      <w:r>
        <w:rPr>
          <w:rFonts w:hint="eastAsia" w:ascii="仿宋_GB2312" w:hAnsi="仿宋_GB2312" w:eastAsia="仿宋_GB2312" w:cs="仿宋_GB2312"/>
          <w:color w:val="000000" w:themeColor="text1"/>
          <w:sz w:val="32"/>
          <w:szCs w:val="32"/>
          <w:highlight w:val="none"/>
          <w14:textFill>
            <w14:solidFill>
              <w14:schemeClr w14:val="tx1"/>
            </w14:solidFill>
          </w14:textFill>
        </w:rPr>
        <w:t>大修升级。</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园林绿化更加优美。</w:t>
      </w:r>
      <w:r>
        <w:rPr>
          <w:rFonts w:hint="eastAsia" w:ascii="仿宋_GB2312" w:hAnsi="仿宋_GB2312" w:eastAsia="仿宋_GB2312" w:cs="仿宋_GB2312"/>
          <w:color w:val="000000" w:themeColor="text1"/>
          <w:sz w:val="32"/>
          <w:szCs w:val="32"/>
          <w:highlight w:val="none"/>
          <w14:textFill>
            <w14:solidFill>
              <w14:schemeClr w14:val="tx1"/>
            </w14:solidFill>
          </w14:textFill>
        </w:rPr>
        <w:t>全面践行“公园城市”发展理念</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建设口袋公园25个、城市绿道8.6公里，开放公园草坪、林下空间及空闲地等区域5.2公顷，实施“国球进公园”活动新增乒乓球台29个，打造了“300米见绿、500米见园”的15分钟休闲生活圈</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照明管护更加精细。</w:t>
      </w:r>
      <w:r>
        <w:rPr>
          <w:rFonts w:hint="eastAsia" w:ascii="仿宋_GB2312" w:hAnsi="仿宋_GB2312" w:eastAsia="仿宋_GB2312" w:cs="仿宋_GB2312"/>
          <w:color w:val="000000" w:themeColor="text1"/>
          <w:sz w:val="32"/>
          <w:szCs w:val="32"/>
          <w:highlight w:val="none"/>
          <w14:textFill>
            <w14:solidFill>
              <w14:schemeClr w14:val="tx1"/>
            </w14:solidFill>
          </w14:textFill>
        </w:rPr>
        <w:t>市主城区装灯率达100%、亮灯率和设施完好率</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均</w:t>
      </w:r>
      <w:r>
        <w:rPr>
          <w:rFonts w:hint="eastAsia" w:ascii="仿宋_GB2312" w:hAnsi="仿宋_GB2312" w:eastAsia="仿宋_GB2312" w:cs="仿宋_GB2312"/>
          <w:color w:val="000000" w:themeColor="text1"/>
          <w:sz w:val="32"/>
          <w:szCs w:val="32"/>
          <w:highlight w:val="none"/>
          <w14:textFill>
            <w14:solidFill>
              <w14:schemeClr w14:val="tx1"/>
            </w14:solidFill>
          </w14:textFill>
        </w:rPr>
        <w:t>超过98%</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完成岳阳大道等40条主次干道绿色照明改造，新装LED灯具6100余套，安装智慧单灯控制终端2000套；</w:t>
      </w:r>
      <w:r>
        <w:rPr>
          <w:rFonts w:hint="eastAsia" w:ascii="仿宋_GB2312" w:hAnsi="仿宋_GB2312" w:eastAsia="仿宋_GB2312" w:cs="仿宋_GB2312"/>
          <w:color w:val="000000" w:themeColor="text1"/>
          <w:sz w:val="32"/>
          <w:szCs w:val="32"/>
          <w:highlight w:val="none"/>
          <w14:textFill>
            <w14:solidFill>
              <w14:schemeClr w14:val="tx1"/>
            </w14:solidFill>
          </w14:textFill>
        </w:rPr>
        <w:t>在公园广场、主要路</w:t>
      </w:r>
      <w:r>
        <w:rPr>
          <w:rFonts w:hint="eastAsia" w:ascii="仿宋_GB2312" w:hAnsi="仿宋_GB2312" w:eastAsia="仿宋_GB2312" w:cs="仿宋_GB2312"/>
          <w:color w:val="000000" w:themeColor="text1"/>
          <w:sz w:val="32"/>
          <w:szCs w:val="32"/>
          <w14:textFill>
            <w14:solidFill>
              <w14:schemeClr w14:val="tx1"/>
            </w14:solidFill>
          </w14:textFill>
        </w:rPr>
        <w:t>段、重要节点采取摆花和亮化造景等方式营造节日氛围，实现“白天赏花、夜晚观灯、全天看景”</w:t>
      </w:r>
      <w:r>
        <w:rPr>
          <w:rFonts w:hint="eastAsia" w:ascii="仿宋_GB2312" w:hAnsi="仿宋_GB2312" w:eastAsia="仿宋_GB2312" w:cs="仿宋_GB2312"/>
          <w:color w:val="000000" w:themeColor="text1"/>
          <w:sz w:val="32"/>
          <w:szCs w:val="32"/>
          <w:lang w:eastAsia="zh-CN"/>
          <w14:textFill>
            <w14:solidFill>
              <w14:schemeClr w14:val="tx1"/>
            </w14:solidFill>
          </w14:textFill>
        </w:rPr>
        <w:t>的良好</w:t>
      </w:r>
      <w:r>
        <w:rPr>
          <w:rFonts w:hint="eastAsia" w:ascii="仿宋_GB2312" w:hAnsi="仿宋_GB2312" w:eastAsia="仿宋_GB2312" w:cs="仿宋_GB2312"/>
          <w:color w:val="000000" w:themeColor="text1"/>
          <w:sz w:val="32"/>
          <w:szCs w:val="32"/>
          <w14:textFill>
            <w14:solidFill>
              <w14:schemeClr w14:val="tx1"/>
            </w14:solidFill>
          </w14:textFill>
        </w:rPr>
        <w:t>效果。</w:t>
      </w:r>
    </w:p>
    <w:p w14:paraId="705DEB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四是以增进民生福祉为重点，全力提高城市管理温度。</w:t>
      </w:r>
      <w:r>
        <w:rPr>
          <w:rFonts w:hint="eastAsia" w:ascii="仿宋_GB2312" w:hAnsi="仿宋_GB2312" w:eastAsia="仿宋_GB2312" w:cs="仿宋_GB2312"/>
          <w:color w:val="000000" w:themeColor="text1"/>
          <w:sz w:val="32"/>
          <w:szCs w:val="32"/>
          <w14:textFill>
            <w14:solidFill>
              <w14:schemeClr w14:val="tx1"/>
            </w14:solidFill>
          </w14:textFill>
        </w:rPr>
        <w:t>把增进民生福祉作为工作出发点和落脚点，认真解决涉及群众切身利益的问题，打通服务群众“最后一公里”。</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持续开展停车秩序专项整治，缓解城区“停车难”问题。</w:t>
      </w:r>
      <w:r>
        <w:rPr>
          <w:rFonts w:hint="eastAsia" w:ascii="仿宋_GB2312" w:hAnsi="仿宋_GB2312" w:eastAsia="仿宋_GB2312" w:cs="仿宋_GB2312"/>
          <w:color w:val="000000" w:themeColor="text1"/>
          <w:sz w:val="32"/>
          <w:szCs w:val="32"/>
          <w14:textFill>
            <w14:solidFill>
              <w14:schemeClr w14:val="tx1"/>
            </w14:solidFill>
          </w14:textFill>
        </w:rPr>
        <w:t>拆除违规设置停车设施</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50</w:t>
      </w:r>
      <w:r>
        <w:rPr>
          <w:rFonts w:hint="eastAsia" w:ascii="仿宋_GB2312" w:hAnsi="仿宋_GB2312" w:eastAsia="仿宋_GB2312" w:cs="仿宋_GB2312"/>
          <w:color w:val="000000" w:themeColor="text1"/>
          <w:sz w:val="32"/>
          <w:szCs w:val="32"/>
          <w14:textFill>
            <w14:solidFill>
              <w14:schemeClr w14:val="tx1"/>
            </w14:solidFill>
          </w14:textFill>
        </w:rPr>
        <w:t>余处，释放公共停车泊位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2000</w:t>
      </w:r>
      <w:r>
        <w:rPr>
          <w:rFonts w:hint="eastAsia" w:ascii="仿宋_GB2312" w:hAnsi="仿宋_GB2312" w:eastAsia="仿宋_GB2312" w:cs="仿宋_GB2312"/>
          <w:color w:val="000000" w:themeColor="text1"/>
          <w:sz w:val="32"/>
          <w:szCs w:val="32"/>
          <w14:textFill>
            <w14:solidFill>
              <w14:schemeClr w14:val="tx1"/>
            </w14:solidFill>
          </w14:textFill>
        </w:rPr>
        <w:t>余个</w:t>
      </w:r>
      <w:r>
        <w:rPr>
          <w:rFonts w:hint="eastAsia" w:ascii="仿宋_GB2312" w:hAnsi="仿宋_GB2312" w:eastAsia="仿宋_GB2312" w:cs="仿宋_GB2312"/>
          <w:color w:val="000000" w:themeColor="text1"/>
          <w:sz w:val="32"/>
          <w:szCs w:val="32"/>
          <w:lang w:eastAsia="zh-CN"/>
          <w14:textFill>
            <w14:solidFill>
              <w14:schemeClr w14:val="tx1"/>
            </w14:solidFill>
          </w14:textFill>
        </w:rPr>
        <w:t>，特别是市公安局城管执法大队在整治行动中发挥了重要保障作用</w:t>
      </w:r>
      <w:r>
        <w:rPr>
          <w:rFonts w:hint="eastAsia" w:ascii="仿宋_GB2312" w:hAnsi="仿宋_GB2312" w:eastAsia="仿宋_GB2312" w:cs="仿宋_GB2312"/>
          <w:color w:val="000000" w:themeColor="text1"/>
          <w:sz w:val="32"/>
          <w:szCs w:val="32"/>
          <w14:textFill>
            <w14:solidFill>
              <w14:schemeClr w14:val="tx1"/>
            </w14:solidFill>
          </w14:textFill>
        </w:rPr>
        <w:t>；发送劝离短信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3.63万</w:t>
      </w:r>
      <w:r>
        <w:rPr>
          <w:rFonts w:hint="eastAsia" w:ascii="仿宋_GB2312" w:hAnsi="仿宋_GB2312" w:eastAsia="仿宋_GB2312" w:cs="仿宋_GB2312"/>
          <w:color w:val="000000" w:themeColor="text1"/>
          <w:sz w:val="32"/>
          <w:szCs w:val="32"/>
          <w14:textFill>
            <w14:solidFill>
              <w14:schemeClr w14:val="tx1"/>
            </w14:solidFill>
          </w14:textFill>
        </w:rPr>
        <w:t>条，抄牌违停车辆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2.09万</w:t>
      </w:r>
      <w:r>
        <w:rPr>
          <w:rFonts w:hint="eastAsia" w:ascii="仿宋_GB2312" w:hAnsi="仿宋_GB2312" w:eastAsia="仿宋_GB2312" w:cs="仿宋_GB2312"/>
          <w:color w:val="000000" w:themeColor="text1"/>
          <w:sz w:val="32"/>
          <w:szCs w:val="32"/>
          <w14:textFill>
            <w14:solidFill>
              <w14:schemeClr w14:val="tx1"/>
            </w14:solidFill>
          </w14:textFill>
        </w:rPr>
        <w:t>台</w:t>
      </w:r>
      <w:r>
        <w:rPr>
          <w:rFonts w:hint="eastAsia" w:ascii="仿宋_GB2312" w:hAnsi="仿宋_GB2312" w:eastAsia="仿宋_GB2312" w:cs="仿宋_GB2312"/>
          <w:color w:val="000000" w:themeColor="text1"/>
          <w:sz w:val="32"/>
          <w:szCs w:val="32"/>
          <w:lang w:eastAsia="zh-CN"/>
          <w14:textFill>
            <w14:solidFill>
              <w14:schemeClr w14:val="tx1"/>
            </w14:solidFill>
          </w14:textFill>
        </w:rPr>
        <w:t>次</w:t>
      </w:r>
      <w:r>
        <w:rPr>
          <w:rFonts w:hint="eastAsia" w:ascii="仿宋_GB2312" w:hAnsi="仿宋_GB2312" w:eastAsia="仿宋_GB2312" w:cs="仿宋_GB2312"/>
          <w:color w:val="000000" w:themeColor="text1"/>
          <w:sz w:val="32"/>
          <w:szCs w:val="32"/>
          <w14:textFill>
            <w14:solidFill>
              <w14:schemeClr w14:val="tx1"/>
            </w14:solidFill>
          </w14:textFill>
        </w:rPr>
        <w:t>，提高了道路临时泊位周转率；</w:t>
      </w:r>
      <w:r>
        <w:rPr>
          <w:rFonts w:hint="eastAsia" w:ascii="仿宋_GB2312" w:hAnsi="仿宋_GB2312" w:eastAsia="仿宋_GB2312" w:cs="仿宋_GB2312"/>
          <w:color w:val="000000" w:themeColor="text1"/>
          <w:sz w:val="32"/>
          <w:szCs w:val="32"/>
          <w:lang w:eastAsia="zh-CN"/>
          <w14:textFill>
            <w14:solidFill>
              <w14:schemeClr w14:val="tx1"/>
            </w14:solidFill>
          </w14:textFill>
        </w:rPr>
        <w:t>完成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149</w:t>
      </w:r>
      <w:r>
        <w:rPr>
          <w:rFonts w:hint="eastAsia" w:ascii="仿宋_GB2312" w:hAnsi="仿宋_GB2312" w:eastAsia="仿宋_GB2312" w:cs="仿宋_GB2312"/>
          <w:color w:val="000000" w:themeColor="text1"/>
          <w:sz w:val="32"/>
          <w:szCs w:val="32"/>
          <w14:textFill>
            <w14:solidFill>
              <w14:schemeClr w14:val="tx1"/>
            </w14:solidFill>
          </w14:textFill>
        </w:rPr>
        <w:t>家“产权清晰、符合条件又确有需求”</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停车场备案登记，得到市人大和市政府充分肯定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以市政府办名义下发《关于做好市城区机关事业单位停车场对外开放工作的通知》，督促各级机关</w:t>
      </w:r>
      <w:r>
        <w:rPr>
          <w:rFonts w:hint="eastAsia" w:ascii="仿宋_GB2312" w:hAnsi="仿宋_GB2312" w:eastAsia="仿宋_GB2312" w:cs="仿宋_GB2312"/>
          <w:color w:val="000000" w:themeColor="text1"/>
          <w:sz w:val="32"/>
          <w:szCs w:val="32"/>
          <w:lang w:eastAsia="zh-CN"/>
          <w14:textFill>
            <w14:solidFill>
              <w14:schemeClr w14:val="tx1"/>
            </w14:solidFill>
          </w14:textFill>
        </w:rPr>
        <w:t>、国有企</w:t>
      </w:r>
      <w:r>
        <w:rPr>
          <w:rFonts w:hint="eastAsia" w:ascii="仿宋_GB2312" w:hAnsi="仿宋_GB2312" w:eastAsia="仿宋_GB2312" w:cs="仿宋_GB2312"/>
          <w:color w:val="000000" w:themeColor="text1"/>
          <w:sz w:val="32"/>
          <w:szCs w:val="32"/>
          <w14:textFill>
            <w14:solidFill>
              <w14:schemeClr w14:val="tx1"/>
            </w14:solidFill>
          </w14:textFill>
        </w:rPr>
        <w:t>事业单位</w:t>
      </w:r>
      <w:r>
        <w:rPr>
          <w:rFonts w:hint="eastAsia" w:ascii="仿宋_GB2312" w:hAnsi="仿宋_GB2312" w:eastAsia="仿宋_GB2312" w:cs="仿宋_GB2312"/>
          <w:color w:val="000000" w:themeColor="text1"/>
          <w:sz w:val="32"/>
          <w:szCs w:val="32"/>
          <w:lang w:eastAsia="zh-CN"/>
          <w14:textFill>
            <w14:solidFill>
              <w14:schemeClr w14:val="tx1"/>
            </w14:solidFill>
          </w14:textFill>
        </w:rPr>
        <w:t>免费对外开放内部停车</w:t>
      </w:r>
      <w:r>
        <w:rPr>
          <w:rFonts w:hint="eastAsia" w:ascii="仿宋_GB2312" w:hAnsi="仿宋_GB2312" w:eastAsia="仿宋_GB2312" w:cs="仿宋_GB2312"/>
          <w:color w:val="000000" w:themeColor="text1"/>
          <w:sz w:val="32"/>
          <w:szCs w:val="32"/>
          <w14:textFill>
            <w14:solidFill>
              <w14:schemeClr w14:val="tx1"/>
            </w14:solidFill>
          </w14:textFill>
        </w:rPr>
        <w:t>泊位6000余个。</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持续开展“城管进社区”活动，整治社区“脏乱差”顽疾。</w:t>
      </w:r>
      <w:r>
        <w:rPr>
          <w:rFonts w:hint="eastAsia" w:ascii="仿宋_GB2312" w:hAnsi="仿宋_GB2312" w:eastAsia="仿宋_GB2312" w:cs="仿宋_GB2312"/>
          <w:color w:val="000000" w:themeColor="text1"/>
          <w:sz w:val="32"/>
          <w:szCs w:val="32"/>
          <w14:textFill>
            <w14:solidFill>
              <w14:schemeClr w14:val="tx1"/>
            </w14:solidFill>
          </w14:textFill>
        </w:rPr>
        <w:t>建立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城管</w:t>
      </w:r>
      <w:r>
        <w:rPr>
          <w:rFonts w:hint="eastAsia" w:ascii="仿宋_GB2312" w:hAnsi="仿宋_GB2312" w:eastAsia="仿宋_GB2312" w:cs="仿宋_GB2312"/>
          <w:color w:val="000000" w:themeColor="text1"/>
          <w:sz w:val="32"/>
          <w:szCs w:val="32"/>
          <w14:textFill>
            <w14:solidFill>
              <w14:schemeClr w14:val="tx1"/>
            </w14:solidFill>
          </w14:textFill>
        </w:rPr>
        <w:t>与街道、社区、物业等联动协作</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“问题收集—任务分派—联合处置—结果反馈”闭环管理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机制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实施“宣传+服务”双轮驱动，开展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宣传</w:t>
      </w:r>
      <w:r>
        <w:rPr>
          <w:rFonts w:hint="eastAsia" w:ascii="仿宋_GB2312" w:hAnsi="仿宋_GB2312" w:eastAsia="仿宋_GB2312" w:cs="仿宋_GB2312"/>
          <w:color w:val="000000" w:themeColor="text1"/>
          <w:sz w:val="32"/>
          <w:szCs w:val="32"/>
          <w14:textFill>
            <w14:solidFill>
              <w14:schemeClr w14:val="tx1"/>
            </w14:solidFill>
          </w14:textFill>
        </w:rPr>
        <w:t>活动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85</w:t>
      </w:r>
      <w:r>
        <w:rPr>
          <w:rFonts w:hint="eastAsia" w:ascii="仿宋_GB2312" w:hAnsi="仿宋_GB2312" w:eastAsia="仿宋_GB2312" w:cs="仿宋_GB2312"/>
          <w:color w:val="000000" w:themeColor="text1"/>
          <w:sz w:val="32"/>
          <w:szCs w:val="32"/>
          <w14:textFill>
            <w14:solidFill>
              <w14:schemeClr w14:val="tx1"/>
            </w14:solidFill>
          </w14:textFill>
        </w:rPr>
        <w:t>场，发放宣传</w:t>
      </w:r>
      <w:r>
        <w:rPr>
          <w:rFonts w:hint="eastAsia" w:ascii="仿宋_GB2312" w:hAnsi="仿宋_GB2312" w:eastAsia="仿宋_GB2312" w:cs="仿宋_GB2312"/>
          <w:color w:val="000000" w:themeColor="text1"/>
          <w:sz w:val="32"/>
          <w:szCs w:val="32"/>
          <w:lang w:eastAsia="zh-CN"/>
          <w14:textFill>
            <w14:solidFill>
              <w14:schemeClr w14:val="tx1"/>
            </w14:solidFill>
          </w14:textFill>
        </w:rPr>
        <w:t>资料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14万</w:t>
      </w:r>
      <w:r>
        <w:rPr>
          <w:rFonts w:hint="eastAsia" w:ascii="仿宋_GB2312" w:hAnsi="仿宋_GB2312" w:eastAsia="仿宋_GB2312" w:cs="仿宋_GB2312"/>
          <w:color w:val="000000" w:themeColor="text1"/>
          <w:sz w:val="32"/>
          <w:szCs w:val="32"/>
          <w14:textFill>
            <w14:solidFill>
              <w14:schemeClr w14:val="tx1"/>
            </w14:solidFill>
          </w14:textFill>
        </w:rPr>
        <w:t>余份，收集居民诉求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1900</w:t>
      </w:r>
      <w:r>
        <w:rPr>
          <w:rFonts w:hint="eastAsia" w:ascii="仿宋_GB2312" w:hAnsi="仿宋_GB2312" w:eastAsia="仿宋_GB2312" w:cs="仿宋_GB2312"/>
          <w:color w:val="000000" w:themeColor="text1"/>
          <w:sz w:val="32"/>
          <w:szCs w:val="32"/>
          <w14:textFill>
            <w14:solidFill>
              <w14:schemeClr w14:val="tx1"/>
            </w14:solidFill>
          </w14:textFill>
        </w:rPr>
        <w:t>余条，解决污水直排、</w:t>
      </w:r>
      <w:r>
        <w:rPr>
          <w:rFonts w:hint="eastAsia" w:ascii="仿宋_GB2312" w:hAnsi="仿宋_GB2312" w:eastAsia="仿宋_GB2312" w:cs="仿宋_GB2312"/>
          <w:color w:val="000000" w:themeColor="text1"/>
          <w:sz w:val="32"/>
          <w:szCs w:val="32"/>
          <w:lang w:eastAsia="zh-CN"/>
          <w14:textFill>
            <w14:solidFill>
              <w14:schemeClr w14:val="tx1"/>
            </w14:solidFill>
          </w14:textFill>
        </w:rPr>
        <w:t>基础设施</w:t>
      </w:r>
      <w:r>
        <w:rPr>
          <w:rFonts w:hint="eastAsia" w:ascii="仿宋_GB2312" w:hAnsi="仿宋_GB2312" w:eastAsia="仿宋_GB2312" w:cs="仿宋_GB2312"/>
          <w:color w:val="000000" w:themeColor="text1"/>
          <w:sz w:val="32"/>
          <w:szCs w:val="32"/>
          <w14:textFill>
            <w14:solidFill>
              <w14:schemeClr w14:val="tx1"/>
            </w14:solidFill>
          </w14:textFill>
        </w:rPr>
        <w:t>破损等问题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1763</w:t>
      </w:r>
      <w:r>
        <w:rPr>
          <w:rFonts w:hint="eastAsia" w:ascii="仿宋_GB2312" w:hAnsi="仿宋_GB2312" w:eastAsia="仿宋_GB2312" w:cs="仿宋_GB2312"/>
          <w:color w:val="000000" w:themeColor="text1"/>
          <w:sz w:val="32"/>
          <w:szCs w:val="32"/>
          <w14:textFill>
            <w14:solidFill>
              <w14:schemeClr w14:val="tx1"/>
            </w14:solidFill>
          </w14:textFill>
        </w:rPr>
        <w:t>个，提升</w:t>
      </w:r>
      <w:r>
        <w:rPr>
          <w:rFonts w:hint="eastAsia" w:ascii="仿宋_GB2312" w:hAnsi="仿宋_GB2312" w:eastAsia="仿宋_GB2312" w:cs="仿宋_GB2312"/>
          <w:color w:val="000000" w:themeColor="text1"/>
          <w:sz w:val="32"/>
          <w:szCs w:val="32"/>
          <w:lang w:eastAsia="zh-CN"/>
          <w14:textFill>
            <w14:solidFill>
              <w14:schemeClr w14:val="tx1"/>
            </w14:solidFill>
          </w14:textFill>
        </w:rPr>
        <w:t>了</w:t>
      </w:r>
      <w:r>
        <w:rPr>
          <w:rFonts w:hint="eastAsia" w:ascii="仿宋_GB2312" w:hAnsi="仿宋_GB2312" w:eastAsia="仿宋_GB2312" w:cs="仿宋_GB2312"/>
          <w:color w:val="000000" w:themeColor="text1"/>
          <w:sz w:val="32"/>
          <w:szCs w:val="32"/>
          <w14:textFill>
            <w14:solidFill>
              <w14:schemeClr w14:val="tx1"/>
            </w14:solidFill>
          </w14:textFill>
        </w:rPr>
        <w:t>社区</w:t>
      </w:r>
      <w:r>
        <w:rPr>
          <w:rFonts w:hint="eastAsia" w:ascii="仿宋_GB2312" w:hAnsi="仿宋_GB2312" w:eastAsia="仿宋_GB2312" w:cs="仿宋_GB2312"/>
          <w:color w:val="000000" w:themeColor="text1"/>
          <w:sz w:val="32"/>
          <w:szCs w:val="32"/>
          <w:lang w:eastAsia="zh-CN"/>
          <w14:textFill>
            <w14:solidFill>
              <w14:schemeClr w14:val="tx1"/>
            </w14:solidFill>
          </w14:textFill>
        </w:rPr>
        <w:t>人居</w:t>
      </w:r>
      <w:r>
        <w:rPr>
          <w:rFonts w:hint="eastAsia" w:ascii="仿宋_GB2312" w:hAnsi="仿宋_GB2312" w:eastAsia="仿宋_GB2312" w:cs="仿宋_GB2312"/>
          <w:color w:val="000000" w:themeColor="text1"/>
          <w:sz w:val="32"/>
          <w:szCs w:val="32"/>
          <w14:textFill>
            <w14:solidFill>
              <w14:schemeClr w14:val="tx1"/>
            </w14:solidFill>
          </w14:textFill>
        </w:rPr>
        <w:t>环境。</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持续开展部门联合执法行动，整治两站地区“喊客拉客”难题。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建立“城管+公安+交通运输”联勤联动机制，开展“打非治违”联合执法行动190次，查处非法营运车辆36台，移送公安机关依法行政拘留2人，有力维护了岳阳窗口形象。</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持续完善城管行政审批流程，助力优化岳阳营商环境。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高效办理审批事项1058件。</w:t>
      </w:r>
      <w:r>
        <w:rPr>
          <w:rFonts w:hint="eastAsia" w:ascii="仿宋_GB2312" w:hAnsi="仿宋_GB2312" w:eastAsia="仿宋_GB2312" w:cs="仿宋_GB2312"/>
          <w:color w:val="000000" w:themeColor="text1"/>
          <w:sz w:val="32"/>
          <w:szCs w:val="32"/>
          <w14:textFill>
            <w14:solidFill>
              <w14:schemeClr w14:val="tx1"/>
            </w14:solidFill>
          </w14:textFill>
        </w:rPr>
        <w:t>优化营商环境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“获</w:t>
      </w:r>
      <w:r>
        <w:rPr>
          <w:rFonts w:hint="eastAsia" w:ascii="仿宋_GB2312" w:hAnsi="仿宋_GB2312" w:eastAsia="仿宋_GB2312" w:cs="仿宋_GB2312"/>
          <w:color w:val="000000" w:themeColor="text1"/>
          <w:sz w:val="32"/>
          <w:szCs w:val="32"/>
          <w14:textFill>
            <w14:solidFill>
              <w14:schemeClr w14:val="tx1"/>
            </w14:solidFill>
          </w14:textFill>
        </w:rPr>
        <w:t>得用气”</w:t>
      </w:r>
      <w:r>
        <w:rPr>
          <w:rFonts w:hint="eastAsia" w:ascii="仿宋_GB2312" w:hAnsi="仿宋_GB2312" w:eastAsia="仿宋_GB2312" w:cs="仿宋_GB2312"/>
          <w:color w:val="000000" w:themeColor="text1"/>
          <w:sz w:val="32"/>
          <w:szCs w:val="32"/>
          <w:lang w:eastAsia="zh-CN"/>
          <w14:textFill>
            <w14:solidFill>
              <w14:schemeClr w14:val="tx1"/>
            </w14:solidFill>
          </w14:textFill>
        </w:rPr>
        <w:t>指标</w:t>
      </w:r>
      <w:r>
        <w:rPr>
          <w:rFonts w:hint="eastAsia" w:ascii="仿宋_GB2312" w:hAnsi="仿宋_GB2312" w:eastAsia="仿宋_GB2312" w:cs="仿宋_GB2312"/>
          <w:color w:val="000000" w:themeColor="text1"/>
          <w:sz w:val="32"/>
          <w:szCs w:val="32"/>
          <w14:textFill>
            <w14:solidFill>
              <w14:schemeClr w14:val="tx1"/>
            </w14:solidFill>
          </w14:textFill>
        </w:rPr>
        <w:t>测评位居全省并列第一。打造城管类事务“一证通办”升级版，将原有的“四证合一”升级为“六证合一”</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推行市、区两级占道类审批“并联办”。</w:t>
      </w:r>
      <w:r>
        <w:rPr>
          <w:rFonts w:hint="eastAsia" w:ascii="仿宋_GB2312" w:hAnsi="仿宋_GB2312" w:eastAsia="仿宋_GB2312" w:cs="仿宋_GB2312"/>
          <w:color w:val="000000" w:themeColor="text1"/>
          <w:sz w:val="32"/>
          <w:szCs w:val="32"/>
          <w14:textFill>
            <w14:solidFill>
              <w14:schemeClr w14:val="tx1"/>
            </w14:solidFill>
          </w14:textFill>
        </w:rPr>
        <w:t>市政府《营商专报》专文推介表扬我局优化营商环境工作成效。</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持续开展对口帮扶支援工作，助力改善民生凝聚人心。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与桑日县政府签订合作协议，筹措资金20余万元支援桑日县，接待桑日县来岳阳考察多次，帮扶其提升城市建设管理水平；</w:t>
      </w:r>
      <w:r>
        <w:rPr>
          <w:rFonts w:hint="eastAsia" w:ascii="仿宋_GB2312" w:hAnsi="Times New Roman" w:eastAsia="仿宋_GB2312" w:cs="仿宋_GB2312"/>
          <w:color w:val="000000" w:themeColor="text1"/>
          <w:kern w:val="0"/>
          <w:sz w:val="32"/>
          <w:szCs w:val="32"/>
          <w:lang w:val="en-US" w:eastAsia="zh-CN" w:bidi="ar"/>
          <w14:textFill>
            <w14:solidFill>
              <w14:schemeClr w14:val="tx1"/>
            </w14:solidFill>
          </w14:textFill>
        </w:rPr>
        <w:t>对平江县、湘阴县共6个村开展驻村帮扶，落实各项资金120余万元，助力乡村振兴。</w:t>
      </w:r>
    </w:p>
    <w:p w14:paraId="02F807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五是以保障安全稳定为底线，大力提升城市运行韧性。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将“时时放心不下”的责任感转化为“事事心中有底”的行动力，</w:t>
      </w:r>
      <w:r>
        <w:rPr>
          <w:rFonts w:hint="eastAsia" w:ascii="仿宋_GB2312" w:hAnsi="仿宋_GB2312" w:eastAsia="仿宋_GB2312" w:cs="仿宋_GB2312"/>
          <w:color w:val="000000" w:themeColor="text1"/>
          <w:sz w:val="32"/>
          <w:szCs w:val="32"/>
          <w14:textFill>
            <w14:solidFill>
              <w14:schemeClr w14:val="tx1"/>
            </w14:solidFill>
          </w14:textFill>
        </w:rPr>
        <w:t>不断提升本质安全水平，城管领域安全形势稳</w:t>
      </w:r>
      <w:r>
        <w:rPr>
          <w:rFonts w:hint="eastAsia" w:ascii="仿宋_GB2312" w:hAnsi="仿宋_GB2312" w:eastAsia="仿宋_GB2312" w:cs="仿宋_GB2312"/>
          <w:color w:val="000000" w:themeColor="text1"/>
          <w:sz w:val="32"/>
          <w:szCs w:val="32"/>
          <w:lang w:eastAsia="zh-CN"/>
          <w14:textFill>
            <w14:solidFill>
              <w14:schemeClr w14:val="tx1"/>
            </w14:solidFill>
          </w14:textFill>
        </w:rPr>
        <w:t>中</w:t>
      </w:r>
      <w:r>
        <w:rPr>
          <w:rFonts w:hint="eastAsia" w:ascii="仿宋_GB2312" w:hAnsi="仿宋_GB2312" w:eastAsia="仿宋_GB2312" w:cs="仿宋_GB2312"/>
          <w:color w:val="000000" w:themeColor="text1"/>
          <w:sz w:val="32"/>
          <w:szCs w:val="32"/>
          <w14:textFill>
            <w14:solidFill>
              <w14:schemeClr w14:val="tx1"/>
            </w14:solidFill>
          </w14:textFill>
        </w:rPr>
        <w:t>向好。</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持续深化城镇燃气安全整治，守护好“用气”安全。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全力落实中央纪委国家监委监督推进的“整治城镇燃气安全问题”民生实事，更新改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造老化燃气管网38.04公里</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、户内设施1.31万户，</w:t>
      </w:r>
      <w:r>
        <w:rPr>
          <w:rFonts w:hint="eastAsia" w:ascii="仿宋_GB2312" w:hAnsi="仿宋_GB2312" w:eastAsia="仿宋_GB2312" w:cs="仿宋_GB2312"/>
          <w:color w:val="000000" w:themeColor="text1"/>
          <w:sz w:val="32"/>
          <w:szCs w:val="32"/>
          <w14:textFill>
            <w14:solidFill>
              <w14:schemeClr w14:val="tx1"/>
            </w14:solidFill>
          </w14:textFill>
        </w:rPr>
        <w:t>整合市主城区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个液化石油气场站并实现集中配送</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“敲门行动”入户安全宣传和餐饮企业负责人安全教育实现“两个100%覆盖</w:t>
      </w:r>
      <w:r>
        <w:rPr>
          <w:rFonts w:hint="eastAsia" w:ascii="仿宋_GB2312" w:hAnsi="仿宋_GB2312" w:eastAsia="仿宋_GB2312" w:cs="仿宋_GB2312"/>
          <w:color w:val="000000" w:themeColor="text1"/>
          <w:sz w:val="32"/>
          <w:szCs w:val="32"/>
          <w:lang w:eastAsia="zh-CN"/>
          <w14:textFill>
            <w14:solidFill>
              <w14:schemeClr w14:val="tx1"/>
            </w14:solidFill>
          </w14:textFill>
        </w:rPr>
        <w:t>”，排查</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整改安全风险隐患1710个</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统筹做好城区防洪排涝工作，守护好“汛期”安全。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印发《岳阳市主城区防涝排渍预案》，锚定“人员零</w:t>
      </w:r>
      <w:r>
        <w:rPr>
          <w:rFonts w:hint="eastAsia" w:ascii="仿宋_GB2312" w:hAnsi="仿宋_GB2312" w:eastAsia="仿宋_GB2312" w:cs="仿宋_GB2312"/>
          <w:color w:val="000000" w:themeColor="text1"/>
          <w:sz w:val="32"/>
          <w:szCs w:val="32"/>
          <w14:textFill>
            <w14:solidFill>
              <w14:schemeClr w14:val="tx1"/>
            </w14:solidFill>
          </w14:textFill>
        </w:rPr>
        <w:t>死亡、城市正常运转、群众损失降至最低”三个目标，严格落实“631”叫应提醒机制，依托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智慧城管平台</w:t>
      </w:r>
      <w:r>
        <w:rPr>
          <w:rFonts w:hint="eastAsia" w:ascii="仿宋_GB2312" w:hAnsi="仿宋_GB2312" w:eastAsia="仿宋_GB2312" w:cs="仿宋_GB2312"/>
          <w:color w:val="000000" w:themeColor="text1"/>
          <w:sz w:val="32"/>
          <w:szCs w:val="32"/>
          <w:lang w:eastAsia="zh-CN"/>
          <w14:textFill>
            <w14:solidFill>
              <w14:schemeClr w14:val="tx1"/>
            </w14:solidFill>
          </w14:textFill>
        </w:rPr>
        <w:t>实行</w:t>
      </w:r>
      <w:r>
        <w:rPr>
          <w:rFonts w:hint="eastAsia" w:ascii="仿宋_GB2312" w:hAnsi="仿宋_GB2312" w:eastAsia="仿宋_GB2312" w:cs="仿宋_GB2312"/>
          <w:color w:val="000000" w:themeColor="text1"/>
          <w:sz w:val="32"/>
          <w:szCs w:val="32"/>
          <w14:textFill>
            <w14:solidFill>
              <w14:schemeClr w14:val="tx1"/>
            </w14:solidFill>
          </w14:textFill>
        </w:rPr>
        <w:t>24小时监控</w:t>
      </w:r>
      <w:r>
        <w:rPr>
          <w:rFonts w:hint="eastAsia" w:ascii="仿宋_GB2312" w:hAnsi="仿宋_GB2312" w:eastAsia="仿宋_GB2312" w:cs="仿宋_GB2312"/>
          <w:color w:val="000000" w:themeColor="text1"/>
          <w:sz w:val="32"/>
          <w:szCs w:val="32"/>
          <w:lang w:eastAsia="zh-CN"/>
          <w14:textFill>
            <w14:solidFill>
              <w14:schemeClr w14:val="tx1"/>
            </w14:solidFill>
          </w14:textFill>
        </w:rPr>
        <w:t>和调度，</w:t>
      </w:r>
      <w:r>
        <w:rPr>
          <w:rFonts w:hint="eastAsia" w:ascii="仿宋_GB2312" w:hAnsi="仿宋_GB2312" w:eastAsia="仿宋_GB2312" w:cs="仿宋_GB2312"/>
          <w:color w:val="000000" w:themeColor="text1"/>
          <w:sz w:val="32"/>
          <w:szCs w:val="32"/>
          <w14:textFill>
            <w14:solidFill>
              <w14:schemeClr w14:val="tx1"/>
            </w14:solidFill>
          </w14:textFill>
        </w:rPr>
        <w:t>有效应对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8轮</w:t>
      </w:r>
      <w:r>
        <w:rPr>
          <w:rFonts w:hint="eastAsia" w:ascii="仿宋_GB2312" w:hAnsi="仿宋_GB2312" w:eastAsia="仿宋_GB2312" w:cs="仿宋_GB2312"/>
          <w:color w:val="000000" w:themeColor="text1"/>
          <w:sz w:val="32"/>
          <w:szCs w:val="32"/>
          <w14:textFill>
            <w14:solidFill>
              <w14:schemeClr w14:val="tx1"/>
            </w14:solidFill>
          </w14:textFill>
        </w:rPr>
        <w:t>强降雨天气</w:t>
      </w:r>
      <w:r>
        <w:rPr>
          <w:rFonts w:hint="eastAsia" w:ascii="仿宋_GB2312" w:hAnsi="仿宋_GB2312" w:eastAsia="仿宋_GB2312" w:cs="仿宋_GB2312"/>
          <w:color w:val="000000" w:themeColor="text1"/>
          <w:sz w:val="32"/>
          <w:szCs w:val="32"/>
          <w:lang w:eastAsia="zh-CN"/>
          <w14:textFill>
            <w14:solidFill>
              <w14:schemeClr w14:val="tx1"/>
            </w14:solidFill>
          </w14:textFill>
        </w:rPr>
        <w:t>，确保了安全度汛</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坚决抓好烟花爆竹管控工作，守护好“节日”安全。</w:t>
      </w:r>
      <w:r>
        <w:rPr>
          <w:rFonts w:hint="eastAsia" w:ascii="仿宋_GB2312" w:hAnsi="仿宋_GB2312" w:eastAsia="仿宋_GB2312" w:cs="仿宋_GB2312"/>
          <w:color w:val="000000" w:themeColor="text1"/>
          <w:sz w:val="32"/>
          <w:szCs w:val="32"/>
          <w14:textFill>
            <w14:solidFill>
              <w14:schemeClr w14:val="tx1"/>
            </w14:solidFill>
          </w14:textFill>
        </w:rPr>
        <w:t>建立市－</w:t>
      </w:r>
      <w:r>
        <w:rPr>
          <w:rFonts w:hint="eastAsia" w:ascii="仿宋_GB2312" w:hAnsi="仿宋_GB2312" w:eastAsia="仿宋_GB2312" w:cs="仿宋_GB2312"/>
          <w:color w:val="000000" w:themeColor="text1"/>
          <w:sz w:val="32"/>
          <w:szCs w:val="32"/>
          <w:lang w:eastAsia="zh-CN"/>
          <w14:textFill>
            <w14:solidFill>
              <w14:schemeClr w14:val="tx1"/>
            </w14:solidFill>
          </w14:textFill>
        </w:rPr>
        <w:t>县（市、区）</w:t>
      </w:r>
      <w:r>
        <w:rPr>
          <w:rFonts w:hint="eastAsia" w:ascii="仿宋_GB2312" w:hAnsi="仿宋_GB2312" w:eastAsia="仿宋_GB2312" w:cs="仿宋_GB2312"/>
          <w:color w:val="000000" w:themeColor="text1"/>
          <w:sz w:val="32"/>
          <w:szCs w:val="32"/>
          <w14:textFill>
            <w14:solidFill>
              <w14:schemeClr w14:val="tx1"/>
            </w14:solidFill>
          </w14:textFill>
        </w:rPr>
        <w:t>－乡镇（街道、管理处）－</w:t>
      </w:r>
      <w:r>
        <w:rPr>
          <w:rFonts w:hint="eastAsia" w:ascii="仿宋_GB2312" w:hAnsi="仿宋_GB2312" w:eastAsia="仿宋_GB2312" w:cs="仿宋_GB2312"/>
          <w:color w:val="000000" w:themeColor="text1"/>
          <w:sz w:val="32"/>
          <w:szCs w:val="32"/>
          <w:lang w:eastAsia="zh-CN"/>
          <w14:textFill>
            <w14:solidFill>
              <w14:schemeClr w14:val="tx1"/>
            </w14:solidFill>
          </w14:textFill>
        </w:rPr>
        <w:t>村（社区）</w:t>
      </w:r>
      <w:r>
        <w:rPr>
          <w:rFonts w:hint="eastAsia" w:ascii="仿宋_GB2312" w:hAnsi="仿宋_GB2312" w:eastAsia="仿宋_GB2312" w:cs="仿宋_GB2312"/>
          <w:color w:val="000000" w:themeColor="text1"/>
          <w:sz w:val="32"/>
          <w:szCs w:val="32"/>
          <w14:textFill>
            <w14:solidFill>
              <w14:schemeClr w14:val="tx1"/>
            </w14:solidFill>
          </w14:textFill>
        </w:rPr>
        <w:t>四级指挥体系，聚焦</w:t>
      </w:r>
      <w:r>
        <w:rPr>
          <w:rFonts w:hint="eastAsia" w:ascii="仿宋_GB2312" w:hAnsi="仿宋_GB2312" w:eastAsia="仿宋_GB2312" w:cs="仿宋_GB2312"/>
          <w:color w:val="000000" w:themeColor="text1"/>
          <w:sz w:val="32"/>
          <w:szCs w:val="32"/>
          <w:lang w:eastAsia="zh-CN"/>
          <w14:textFill>
            <w14:solidFill>
              <w14:schemeClr w14:val="tx1"/>
            </w14:solidFill>
          </w14:textFill>
        </w:rPr>
        <w:t>烟花爆竹</w:t>
      </w:r>
      <w:r>
        <w:rPr>
          <w:rFonts w:hint="eastAsia" w:ascii="仿宋_GB2312" w:hAnsi="仿宋_GB2312" w:eastAsia="仿宋_GB2312" w:cs="仿宋_GB2312"/>
          <w:color w:val="000000" w:themeColor="text1"/>
          <w:sz w:val="32"/>
          <w:szCs w:val="32"/>
          <w14:textFill>
            <w14:solidFill>
              <w14:schemeClr w14:val="tx1"/>
            </w14:solidFill>
          </w14:textFill>
        </w:rPr>
        <w:t>生产、销售、储存、运输、燃放5大环节持续开展</w:t>
      </w:r>
      <w:r>
        <w:rPr>
          <w:rFonts w:hint="eastAsia" w:ascii="仿宋_GB2312" w:hAnsi="仿宋_GB2312" w:eastAsia="仿宋_GB2312" w:cs="仿宋_GB2312"/>
          <w:color w:val="000000" w:themeColor="text1"/>
          <w:sz w:val="32"/>
          <w:szCs w:val="32"/>
          <w:lang w:eastAsia="zh-CN"/>
          <w14:textFill>
            <w14:solidFill>
              <w14:schemeClr w14:val="tx1"/>
            </w14:solidFill>
          </w14:textFill>
        </w:rPr>
        <w:t>整治行动</w:t>
      </w:r>
      <w:r>
        <w:rPr>
          <w:rFonts w:hint="eastAsia" w:ascii="仿宋_GB2312" w:hAnsi="仿宋_GB2312" w:eastAsia="仿宋_GB2312" w:cs="仿宋_GB2312"/>
          <w:color w:val="000000" w:themeColor="text1"/>
          <w:sz w:val="32"/>
          <w:szCs w:val="32"/>
          <w14:textFill>
            <w14:solidFill>
              <w14:schemeClr w14:val="tx1"/>
            </w14:solidFill>
          </w14:textFill>
        </w:rPr>
        <w:t>，检查门店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500余家，劝阻燃放行为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70</w:t>
      </w:r>
      <w:r>
        <w:rPr>
          <w:rFonts w:hint="eastAsia" w:ascii="仿宋_GB2312" w:hAnsi="仿宋_GB2312" w:eastAsia="仿宋_GB2312" w:cs="仿宋_GB2312"/>
          <w:color w:val="000000" w:themeColor="text1"/>
          <w:sz w:val="32"/>
          <w:szCs w:val="32"/>
          <w14:textFill>
            <w14:solidFill>
              <w14:schemeClr w14:val="tx1"/>
            </w14:solidFill>
          </w14:textFill>
        </w:rPr>
        <w:t>00余起，</w:t>
      </w:r>
      <w:r>
        <w:rPr>
          <w:rFonts w:hint="eastAsia" w:ascii="仿宋_GB2312" w:hAnsi="仿宋_GB2312" w:eastAsia="仿宋_GB2312" w:cs="仿宋_GB2312"/>
          <w:color w:val="000000" w:themeColor="text1"/>
          <w:sz w:val="32"/>
          <w:szCs w:val="32"/>
          <w:lang w:eastAsia="zh-CN"/>
          <w14:textFill>
            <w14:solidFill>
              <w14:schemeClr w14:val="tx1"/>
            </w14:solidFill>
          </w14:textFill>
        </w:rPr>
        <w:t>移送公安机关依法</w:t>
      </w:r>
      <w:r>
        <w:rPr>
          <w:rFonts w:hint="eastAsia" w:ascii="仿宋_GB2312" w:hAnsi="仿宋_GB2312" w:eastAsia="仿宋_GB2312" w:cs="仿宋_GB2312"/>
          <w:color w:val="000000" w:themeColor="text1"/>
          <w:sz w:val="32"/>
          <w:szCs w:val="32"/>
          <w14:textFill>
            <w14:solidFill>
              <w14:schemeClr w14:val="tx1"/>
            </w14:solidFill>
          </w14:textFill>
        </w:rPr>
        <w:t>行政拘留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人</w:t>
      </w:r>
      <w:r>
        <w:rPr>
          <w:rFonts w:hint="eastAsia" w:ascii="仿宋_GB2312" w:hAnsi="仿宋_GB2312" w:eastAsia="仿宋_GB2312" w:cs="仿宋_GB2312"/>
          <w:color w:val="000000" w:themeColor="text1"/>
          <w:sz w:val="32"/>
          <w:szCs w:val="32"/>
          <w:lang w:eastAsia="zh-CN"/>
          <w14:textFill>
            <w14:solidFill>
              <w14:schemeClr w14:val="tx1"/>
            </w14:solidFill>
          </w14:textFill>
        </w:rPr>
        <w:t>，守住了安全、环保两条防线</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做实做细信访维稳各项工作，守护好“政治”安全。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加强信访问题源头治理和法治化，59</w:t>
      </w:r>
      <w:r>
        <w:rPr>
          <w:rFonts w:hint="eastAsia" w:ascii="仿宋_GB2312" w:hAnsi="仿宋_GB2312" w:eastAsia="仿宋_GB2312" w:cs="仿宋_GB2312"/>
          <w:color w:val="000000" w:themeColor="text1"/>
          <w:sz w:val="32"/>
          <w:szCs w:val="32"/>
          <w14:textFill>
            <w14:solidFill>
              <w14:schemeClr w14:val="tx1"/>
            </w14:solidFill>
          </w14:textFill>
        </w:rPr>
        <w:t>件信访事项（</w:t>
      </w:r>
      <w:r>
        <w:rPr>
          <w:rFonts w:hint="eastAsia" w:ascii="仿宋_GB2312" w:hAnsi="仿宋_GB2312" w:eastAsia="仿宋_GB2312" w:cs="仿宋_GB2312"/>
          <w:color w:val="000000" w:themeColor="text1"/>
          <w:sz w:val="32"/>
          <w:szCs w:val="32"/>
          <w:lang w:eastAsia="zh-CN"/>
          <w14:textFill>
            <w14:solidFill>
              <w14:schemeClr w14:val="tx1"/>
            </w14:solidFill>
          </w14:textFill>
        </w:rPr>
        <w:t>含</w:t>
      </w:r>
      <w:r>
        <w:rPr>
          <w:rFonts w:hint="eastAsia" w:ascii="仿宋_GB2312" w:hAnsi="仿宋_GB2312" w:eastAsia="仿宋_GB2312" w:cs="仿宋_GB2312"/>
          <w:color w:val="000000" w:themeColor="text1"/>
          <w:sz w:val="32"/>
          <w:szCs w:val="32"/>
          <w14:textFill>
            <w14:solidFill>
              <w14:schemeClr w14:val="tx1"/>
            </w14:solidFill>
          </w14:textFill>
        </w:rPr>
        <w:t>中央巡视组</w:t>
      </w:r>
      <w:r>
        <w:rPr>
          <w:rFonts w:hint="eastAsia" w:ascii="仿宋_GB2312" w:hAnsi="仿宋_GB2312" w:eastAsia="仿宋_GB2312" w:cs="仿宋_GB2312"/>
          <w:color w:val="000000" w:themeColor="text1"/>
          <w:sz w:val="32"/>
          <w:szCs w:val="32"/>
          <w:lang w:eastAsia="zh-CN"/>
          <w14:textFill>
            <w14:solidFill>
              <w14:schemeClr w14:val="tx1"/>
            </w14:solidFill>
          </w14:textFill>
        </w:rPr>
        <w:t>交办</w:t>
      </w:r>
      <w:r>
        <w:rPr>
          <w:rFonts w:hint="eastAsia" w:ascii="仿宋_GB2312" w:hAnsi="仿宋_GB2312" w:eastAsia="仿宋_GB2312" w:cs="仿宋_GB2312"/>
          <w:color w:val="000000" w:themeColor="text1"/>
          <w:sz w:val="32"/>
          <w:szCs w:val="32"/>
          <w14:textFill>
            <w14:solidFill>
              <w14:schemeClr w14:val="tx1"/>
            </w14:solidFill>
          </w14:textFill>
        </w:rPr>
        <w:t>15件）</w:t>
      </w:r>
      <w:r>
        <w:rPr>
          <w:rFonts w:hint="eastAsia" w:ascii="仿宋_GB2312" w:hAnsi="仿宋_GB2312" w:eastAsia="仿宋_GB2312" w:cs="仿宋_GB2312"/>
          <w:color w:val="000000" w:themeColor="text1"/>
          <w:sz w:val="32"/>
          <w:szCs w:val="32"/>
          <w:lang w:eastAsia="zh-CN"/>
          <w14:textFill>
            <w14:solidFill>
              <w14:schemeClr w14:val="tx1"/>
            </w14:solidFill>
          </w14:textFill>
        </w:rPr>
        <w:t>均得到及</w:t>
      </w:r>
      <w:r>
        <w:rPr>
          <w:rFonts w:hint="eastAsia" w:ascii="仿宋_GB2312" w:hAnsi="仿宋_GB2312" w:eastAsia="仿宋_GB2312" w:cs="仿宋_GB2312"/>
          <w:color w:val="000000" w:themeColor="text1"/>
          <w:sz w:val="32"/>
          <w:szCs w:val="32"/>
          <w14:textFill>
            <w14:solidFill>
              <w14:schemeClr w14:val="tx1"/>
            </w14:solidFill>
          </w14:textFill>
        </w:rPr>
        <w:t>时办理</w:t>
      </w:r>
      <w:r>
        <w:rPr>
          <w:rFonts w:hint="eastAsia" w:ascii="仿宋_GB2312" w:hAnsi="仿宋_GB2312" w:eastAsia="仿宋_GB2312" w:cs="仿宋_GB2312"/>
          <w:color w:val="000000" w:themeColor="text1"/>
          <w:sz w:val="32"/>
          <w:szCs w:val="32"/>
          <w:lang w:eastAsia="zh-CN"/>
          <w14:textFill>
            <w14:solidFill>
              <w14:schemeClr w14:val="tx1"/>
            </w14:solidFill>
          </w14:textFill>
        </w:rPr>
        <w:t>，未发生</w:t>
      </w:r>
      <w:r>
        <w:rPr>
          <w:rFonts w:hint="eastAsia" w:ascii="仿宋_GB2312" w:hAnsi="仿宋_GB2312" w:eastAsia="仿宋_GB2312" w:cs="仿宋_GB2312"/>
          <w:color w:val="000000" w:themeColor="text1"/>
          <w:sz w:val="32"/>
          <w:szCs w:val="32"/>
          <w14:textFill>
            <w14:solidFill>
              <w14:schemeClr w14:val="tx1"/>
            </w14:solidFill>
          </w14:textFill>
        </w:rPr>
        <w:t>越级</w:t>
      </w:r>
      <w:r>
        <w:rPr>
          <w:rFonts w:hint="default" w:ascii="仿宋_GB2312" w:hAnsi="仿宋_GB2312" w:eastAsia="仿宋_GB2312" w:cs="仿宋_GB2312"/>
          <w:color w:val="000000" w:themeColor="text1"/>
          <w:sz w:val="32"/>
          <w:szCs w:val="32"/>
          <w14:textFill>
            <w14:solidFill>
              <w14:schemeClr w14:val="tx1"/>
            </w14:solidFill>
          </w14:textFill>
        </w:rPr>
        <w:t>赴省进京上访</w:t>
      </w:r>
      <w:r>
        <w:rPr>
          <w:rFonts w:hint="eastAsia" w:ascii="仿宋_GB2312" w:hAnsi="仿宋_GB2312" w:eastAsia="仿宋_GB2312" w:cs="仿宋_GB2312"/>
          <w:color w:val="000000" w:themeColor="text1"/>
          <w:sz w:val="32"/>
          <w:szCs w:val="32"/>
          <w14:textFill>
            <w14:solidFill>
              <w14:schemeClr w14:val="tx1"/>
            </w14:solidFill>
          </w14:textFill>
        </w:rPr>
        <w:t>和大规模集体上访</w:t>
      </w:r>
      <w:r>
        <w:rPr>
          <w:rFonts w:hint="eastAsia" w:ascii="仿宋_GB2312" w:hAnsi="仿宋_GB2312" w:eastAsia="仿宋_GB2312" w:cs="仿宋_GB2312"/>
          <w:color w:val="000000" w:themeColor="text1"/>
          <w:sz w:val="32"/>
          <w:szCs w:val="32"/>
          <w:lang w:eastAsia="zh-CN"/>
          <w14:textFill>
            <w14:solidFill>
              <w14:schemeClr w14:val="tx1"/>
            </w14:solidFill>
          </w14:textFill>
        </w:rPr>
        <w:t>问题</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协调妥善解决市静脉产业园有关企业之间合同纠纷，避免了重大群体性事件发生。</w:t>
      </w:r>
      <w:r>
        <w:rPr>
          <w:rFonts w:hint="eastAsia" w:ascii="仿宋_GB2312" w:hAnsi="仿宋_GB2312" w:eastAsia="仿宋_GB2312" w:cs="仿宋_GB2312"/>
          <w:color w:val="000000" w:themeColor="text1"/>
          <w:sz w:val="32"/>
          <w:szCs w:val="32"/>
          <w:lang w:eastAsia="zh-CN"/>
          <w14:textFill>
            <w14:solidFill>
              <w14:schemeClr w14:val="tx1"/>
            </w14:solidFill>
          </w14:textFill>
        </w:rPr>
        <w:t>全面</w:t>
      </w:r>
      <w:r>
        <w:rPr>
          <w:rFonts w:hint="eastAsia" w:ascii="仿宋_GB2312" w:hAnsi="仿宋_GB2312" w:eastAsia="仿宋_GB2312" w:cs="仿宋_GB2312"/>
          <w:color w:val="000000" w:themeColor="text1"/>
          <w:sz w:val="32"/>
          <w:szCs w:val="32"/>
          <w14:textFill>
            <w14:solidFill>
              <w14:schemeClr w14:val="tx1"/>
            </w14:solidFill>
          </w14:textFill>
        </w:rPr>
        <w:t>落实平安建设</w:t>
      </w:r>
      <w:r>
        <w:rPr>
          <w:rFonts w:hint="eastAsia" w:ascii="仿宋_GB2312" w:hAnsi="仿宋_GB2312" w:eastAsia="仿宋_GB2312" w:cs="仿宋_GB2312"/>
          <w:color w:val="000000" w:themeColor="text1"/>
          <w:sz w:val="32"/>
          <w:szCs w:val="32"/>
          <w:lang w:eastAsia="zh-CN"/>
          <w14:textFill>
            <w14:solidFill>
              <w14:schemeClr w14:val="tx1"/>
            </w14:solidFill>
          </w14:textFill>
        </w:rPr>
        <w:t>要求，</w:t>
      </w:r>
      <w:r>
        <w:rPr>
          <w:rFonts w:hint="eastAsia" w:ascii="仿宋_GB2312" w:hAnsi="仿宋_GB2312" w:eastAsia="仿宋_GB2312" w:cs="仿宋_GB2312"/>
          <w:color w:val="000000" w:themeColor="text1"/>
          <w:sz w:val="32"/>
          <w:szCs w:val="32"/>
          <w14:textFill>
            <w14:solidFill>
              <w14:schemeClr w14:val="tx1"/>
            </w14:solidFill>
          </w14:textFill>
        </w:rPr>
        <w:t>印发《加强机关院落、家属小区、公园广场安全防范工作职责任务分工方案》</w:t>
      </w:r>
      <w:r>
        <w:rPr>
          <w:rFonts w:hint="eastAsia" w:ascii="仿宋_GB2312" w:hAnsi="仿宋_GB2312" w:eastAsia="仿宋_GB2312" w:cs="仿宋_GB2312"/>
          <w:color w:val="000000" w:themeColor="text1"/>
          <w:sz w:val="32"/>
          <w:szCs w:val="32"/>
          <w:lang w:eastAsia="zh-CN"/>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相关安全防范指引</w:t>
      </w:r>
      <w:r>
        <w:rPr>
          <w:rFonts w:hint="eastAsia" w:ascii="仿宋_GB2312" w:hAnsi="仿宋_GB2312" w:eastAsia="仿宋_GB2312" w:cs="仿宋_GB2312"/>
          <w:color w:val="000000" w:themeColor="text1"/>
          <w:sz w:val="32"/>
          <w:szCs w:val="32"/>
          <w:lang w:eastAsia="zh-CN"/>
          <w14:textFill>
            <w14:solidFill>
              <w14:schemeClr w14:val="tx1"/>
            </w14:solidFill>
          </w14:textFill>
        </w:rPr>
        <w:t>，督导相关单位加强</w:t>
      </w:r>
      <w:r>
        <w:rPr>
          <w:rFonts w:hint="eastAsia" w:ascii="仿宋_GB2312" w:hAnsi="仿宋_GB2312" w:eastAsia="仿宋_GB2312" w:cs="仿宋_GB2312"/>
          <w:color w:val="000000" w:themeColor="text1"/>
          <w:sz w:val="32"/>
          <w:szCs w:val="32"/>
          <w14:textFill>
            <w14:solidFill>
              <w14:schemeClr w14:val="tx1"/>
            </w14:solidFill>
          </w14:textFill>
        </w:rPr>
        <w:t>人防、物防、技防和制度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防</w:t>
      </w:r>
      <w:r>
        <w:rPr>
          <w:rFonts w:hint="eastAsia" w:ascii="仿宋_GB2312" w:hAnsi="仿宋_GB2312" w:eastAsia="仿宋_GB2312" w:cs="仿宋_GB2312"/>
          <w:color w:val="000000" w:themeColor="text1"/>
          <w:sz w:val="32"/>
          <w:szCs w:val="32"/>
          <w14:textFill>
            <w14:solidFill>
              <w14:schemeClr w14:val="tx1"/>
            </w14:solidFill>
          </w14:textFill>
        </w:rPr>
        <w:t>建设</w:t>
      </w:r>
      <w:r>
        <w:rPr>
          <w:rFonts w:hint="eastAsia" w:ascii="仿宋_GB2312" w:hAnsi="仿宋_GB2312" w:eastAsia="仿宋_GB2312" w:cs="仿宋_GB2312"/>
          <w:color w:val="000000" w:themeColor="text1"/>
          <w:sz w:val="32"/>
          <w:szCs w:val="32"/>
          <w:lang w:eastAsia="zh-CN"/>
          <w14:textFill>
            <w14:solidFill>
              <w14:schemeClr w14:val="tx1"/>
            </w14:solidFill>
          </w14:textFill>
        </w:rPr>
        <w:t>，全系统总体平安稳定</w:t>
      </w:r>
      <w:r>
        <w:rPr>
          <w:rFonts w:hint="eastAsia" w:ascii="仿宋_GB2312" w:hAnsi="仿宋_GB2312" w:eastAsia="仿宋_GB2312" w:cs="仿宋_GB2312"/>
          <w:color w:val="000000" w:themeColor="text1"/>
          <w:sz w:val="32"/>
          <w:szCs w:val="32"/>
          <w14:textFill>
            <w14:solidFill>
              <w14:schemeClr w14:val="tx1"/>
            </w14:solidFill>
          </w14:textFill>
        </w:rPr>
        <w:t>。</w:t>
      </w:r>
    </w:p>
    <w:p w14:paraId="623DC9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六是以全面从严治党为导向，致力营造良好政治生态。</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坚持严在平时</w:t>
      </w:r>
      <w:r>
        <w:rPr>
          <w:rFonts w:hint="eastAsia" w:ascii="仿宋_GB2312" w:hAnsi="仿宋_GB2312" w:eastAsia="仿宋_GB2312" w:cs="仿宋_GB2312"/>
          <w:color w:val="000000" w:themeColor="text1"/>
          <w:kern w:val="0"/>
          <w:sz w:val="32"/>
          <w:szCs w:val="32"/>
          <w:lang w:eastAsia="zh-CN" w:bidi="ar-SA"/>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严在份上</w:t>
      </w:r>
      <w:r>
        <w:rPr>
          <w:rFonts w:hint="eastAsia" w:ascii="仿宋_GB2312" w:hAnsi="仿宋_GB2312" w:eastAsia="仿宋_GB2312" w:cs="仿宋_GB2312"/>
          <w:color w:val="000000" w:themeColor="text1"/>
          <w:kern w:val="0"/>
          <w:sz w:val="32"/>
          <w:szCs w:val="32"/>
          <w:lang w:eastAsia="zh-CN" w:bidi="ar-SA"/>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严在自身</w:t>
      </w:r>
      <w:r>
        <w:rPr>
          <w:rFonts w:hint="eastAsia" w:ascii="仿宋_GB2312" w:hAnsi="仿宋_GB2312" w:eastAsia="仿宋_GB2312" w:cs="仿宋_GB2312"/>
          <w:color w:val="000000" w:themeColor="text1"/>
          <w:sz w:val="32"/>
          <w:szCs w:val="32"/>
          <w14:textFill>
            <w14:solidFill>
              <w14:schemeClr w14:val="tx1"/>
            </w14:solidFill>
          </w14:textFill>
        </w:rPr>
        <w:t>，为城市管理和综合执法工作提供坚强保障。</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严格标准选人用人。</w:t>
      </w:r>
      <w:r>
        <w:rPr>
          <w:rFonts w:hint="eastAsia" w:ascii="仿宋_GB2312" w:hAnsi="仿宋_GB2312" w:eastAsia="仿宋_GB2312" w:cs="仿宋_GB2312"/>
          <w:color w:val="000000" w:themeColor="text1"/>
          <w:sz w:val="32"/>
          <w:szCs w:val="32"/>
          <w14:textFill>
            <w14:solidFill>
              <w14:schemeClr w14:val="tx1"/>
            </w14:solidFill>
          </w14:textFill>
        </w:rPr>
        <w:t>把政治标准放在首位，通过公务员考试招录</w:t>
      </w:r>
      <w:r>
        <w:rPr>
          <w:rFonts w:hint="eastAsia" w:ascii="仿宋_GB2312" w:hAnsi="仿宋_GB2312" w:eastAsia="仿宋_GB2312" w:cs="仿宋_GB2312"/>
          <w:color w:val="000000" w:themeColor="text1"/>
          <w:sz w:val="32"/>
          <w:szCs w:val="32"/>
          <w:lang w:eastAsia="zh-CN"/>
          <w14:textFill>
            <w14:solidFill>
              <w14:schemeClr w14:val="tx1"/>
            </w14:solidFill>
          </w14:textFill>
        </w:rPr>
        <w:t>参公人员</w:t>
      </w:r>
      <w:r>
        <w:rPr>
          <w:rFonts w:hint="eastAsia" w:ascii="仿宋_GB2312" w:hAnsi="仿宋_GB2312" w:eastAsia="仿宋_GB2312" w:cs="仿宋_GB2312"/>
          <w:color w:val="000000" w:themeColor="text1"/>
          <w:sz w:val="32"/>
          <w:szCs w:val="32"/>
          <w14:textFill>
            <w14:solidFill>
              <w14:schemeClr w14:val="tx1"/>
            </w14:solidFill>
          </w14:textFill>
        </w:rPr>
        <w:t>2名、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四海揽才”引进专业人员2名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安置退伍</w:t>
      </w:r>
      <w:r>
        <w:rPr>
          <w:rFonts w:hint="eastAsia" w:ascii="仿宋_GB2312" w:hAnsi="仿宋_GB2312" w:eastAsia="仿宋_GB2312" w:cs="仿宋_GB2312"/>
          <w:color w:val="000000" w:themeColor="text1"/>
          <w:sz w:val="32"/>
          <w:szCs w:val="32"/>
          <w:lang w:eastAsia="zh-CN"/>
          <w14:textFill>
            <w14:solidFill>
              <w14:schemeClr w14:val="tx1"/>
            </w14:solidFill>
          </w14:textFill>
        </w:rPr>
        <w:t>士兵</w:t>
      </w:r>
      <w:r>
        <w:rPr>
          <w:rFonts w:hint="eastAsia" w:ascii="仿宋_GB2312" w:hAnsi="仿宋_GB2312" w:eastAsia="仿宋_GB2312" w:cs="仿宋_GB2312"/>
          <w:color w:val="000000" w:themeColor="text1"/>
          <w:sz w:val="32"/>
          <w:szCs w:val="32"/>
          <w14:textFill>
            <w14:solidFill>
              <w14:schemeClr w14:val="tx1"/>
            </w14:solidFill>
          </w14:textFill>
        </w:rPr>
        <w:t>2名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调任</w:t>
      </w:r>
      <w:r>
        <w:rPr>
          <w:rFonts w:hint="eastAsia" w:ascii="仿宋_GB2312" w:hAnsi="仿宋_GB2312" w:eastAsia="仿宋_GB2312" w:cs="仿宋_GB2312"/>
          <w:color w:val="000000" w:themeColor="text1"/>
          <w:sz w:val="32"/>
          <w:szCs w:val="32"/>
          <w:lang w:eastAsia="zh-CN"/>
          <w14:textFill>
            <w14:solidFill>
              <w14:schemeClr w14:val="tx1"/>
            </w14:solidFill>
          </w14:textFill>
        </w:rPr>
        <w:t>工作人员</w:t>
      </w:r>
      <w:r>
        <w:rPr>
          <w:rFonts w:hint="eastAsia" w:ascii="仿宋_GB2312" w:hAnsi="仿宋_GB2312" w:eastAsia="仿宋_GB2312" w:cs="仿宋_GB2312"/>
          <w:color w:val="000000" w:themeColor="text1"/>
          <w:sz w:val="32"/>
          <w:szCs w:val="32"/>
          <w14:textFill>
            <w14:solidFill>
              <w14:schemeClr w14:val="tx1"/>
            </w14:solidFill>
          </w14:textFill>
        </w:rPr>
        <w:t>2名，提拔任用正科职干部2名、副科职干部9名，调整交流科级干部14名，晋升职级</w:t>
      </w:r>
      <w:r>
        <w:rPr>
          <w:rFonts w:hint="eastAsia" w:ascii="仿宋_GB2312" w:hAnsi="仿宋_GB2312" w:eastAsia="仿宋_GB2312" w:cs="仿宋_GB2312"/>
          <w:color w:val="000000" w:themeColor="text1"/>
          <w:sz w:val="32"/>
          <w:szCs w:val="32"/>
          <w:lang w:eastAsia="zh-CN"/>
          <w14:textFill>
            <w14:solidFill>
              <w14:schemeClr w14:val="tx1"/>
            </w14:solidFill>
          </w14:textFill>
        </w:rPr>
        <w:t>干部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65名</w:t>
      </w:r>
      <w:r>
        <w:rPr>
          <w:rFonts w:hint="eastAsia" w:ascii="仿宋_GB2312" w:hAnsi="仿宋_GB2312" w:eastAsia="仿宋_GB2312" w:cs="仿宋_GB2312"/>
          <w:color w:val="000000" w:themeColor="text1"/>
          <w:sz w:val="32"/>
          <w:szCs w:val="32"/>
          <w14:textFill>
            <w14:solidFill>
              <w14:schemeClr w14:val="tx1"/>
            </w14:solidFill>
          </w14:textFill>
        </w:rPr>
        <w:t>，挑选8名年轻干部跟班学习。</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严管厚爱传导压力。</w:t>
      </w:r>
      <w:r>
        <w:rPr>
          <w:rFonts w:hint="eastAsia" w:ascii="仿宋_GB2312" w:hAnsi="仿宋_GB2312" w:eastAsia="仿宋_GB2312" w:cs="仿宋_GB2312"/>
          <w:color w:val="000000" w:themeColor="text1"/>
          <w:sz w:val="32"/>
          <w:szCs w:val="32"/>
          <w14:textFill>
            <w14:solidFill>
              <w14:schemeClr w14:val="tx1"/>
            </w14:solidFill>
          </w14:textFill>
        </w:rPr>
        <w:t>扎实开展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深入贯彻</w:t>
      </w:r>
      <w:r>
        <w:rPr>
          <w:rFonts w:hint="eastAsia" w:ascii="仿宋_GB2312" w:hAnsi="仿宋_GB2312" w:eastAsia="仿宋_GB2312" w:cs="仿宋_GB2312"/>
          <w:color w:val="000000" w:themeColor="text1"/>
          <w:sz w:val="32"/>
          <w:szCs w:val="32"/>
          <w14:textFill>
            <w14:solidFill>
              <w14:schemeClr w14:val="tx1"/>
            </w14:solidFill>
          </w14:textFill>
        </w:rPr>
        <w:t>中央八项规定精神学习教育，</w:t>
      </w:r>
      <w:r>
        <w:rPr>
          <w:rFonts w:hint="eastAsia" w:ascii="仿宋_GB2312" w:hAnsi="仿宋_GB2312" w:eastAsia="仿宋_GB2312" w:cs="仿宋_GB2312"/>
          <w:color w:val="000000" w:themeColor="text1"/>
          <w:sz w:val="32"/>
          <w:szCs w:val="32"/>
          <w:lang w:eastAsia="zh-CN"/>
          <w14:textFill>
            <w14:solidFill>
              <w14:schemeClr w14:val="tx1"/>
            </w14:solidFill>
          </w14:textFill>
        </w:rPr>
        <w:t>局党组</w:t>
      </w:r>
      <w:r>
        <w:rPr>
          <w:rFonts w:hint="eastAsia" w:ascii="仿宋_GB2312" w:hAnsi="仿宋_GB2312" w:eastAsia="仿宋_GB2312" w:cs="仿宋_GB2312"/>
          <w:color w:val="000000" w:themeColor="text1"/>
          <w:sz w:val="32"/>
          <w:szCs w:val="32"/>
          <w14:textFill>
            <w14:solidFill>
              <w14:schemeClr w14:val="tx1"/>
            </w14:solidFill>
          </w14:textFill>
        </w:rPr>
        <w:t>举办读书班4期，组织开展各类学习100余场，局领导班子成员赴</w:t>
      </w:r>
      <w:r>
        <w:rPr>
          <w:rFonts w:hint="eastAsia" w:ascii="仿宋_GB2312" w:hAnsi="仿宋_GB2312" w:eastAsia="仿宋_GB2312" w:cs="仿宋_GB2312"/>
          <w:color w:val="000000" w:themeColor="text1"/>
          <w:sz w:val="32"/>
          <w:szCs w:val="32"/>
          <w:lang w:eastAsia="zh-CN"/>
          <w14:textFill>
            <w14:solidFill>
              <w14:schemeClr w14:val="tx1"/>
            </w14:solidFill>
          </w14:textFill>
        </w:rPr>
        <w:t>局属</w:t>
      </w:r>
      <w:r>
        <w:rPr>
          <w:rFonts w:hint="eastAsia" w:ascii="仿宋_GB2312" w:hAnsi="仿宋_GB2312" w:eastAsia="仿宋_GB2312" w:cs="仿宋_GB2312"/>
          <w:color w:val="000000" w:themeColor="text1"/>
          <w:sz w:val="32"/>
          <w:szCs w:val="32"/>
          <w14:textFill>
            <w14:solidFill>
              <w14:schemeClr w14:val="tx1"/>
            </w14:solidFill>
          </w14:textFill>
        </w:rPr>
        <w:t>单位专题授课7次，</w:t>
      </w:r>
      <w:r>
        <w:rPr>
          <w:rFonts w:hint="eastAsia" w:ascii="仿宋_GB2312" w:hAnsi="仿宋_GB2312" w:eastAsia="仿宋_GB2312" w:cs="仿宋_GB2312"/>
          <w:color w:val="000000" w:themeColor="text1"/>
          <w:sz w:val="32"/>
          <w:szCs w:val="32"/>
          <w:lang w:eastAsia="zh-CN"/>
          <w14:textFill>
            <w14:solidFill>
              <w14:schemeClr w14:val="tx1"/>
            </w14:solidFill>
          </w14:textFill>
        </w:rPr>
        <w:t>推动</w:t>
      </w:r>
      <w:r>
        <w:rPr>
          <w:rFonts w:hint="eastAsia" w:ascii="仿宋_GB2312" w:hAnsi="仿宋_GB2312" w:eastAsia="仿宋_GB2312" w:cs="仿宋_GB2312"/>
          <w:color w:val="000000" w:themeColor="text1"/>
          <w:sz w:val="32"/>
          <w:szCs w:val="32"/>
          <w14:textFill>
            <w14:solidFill>
              <w14:schemeClr w14:val="tx1"/>
            </w14:solidFill>
          </w14:textFill>
        </w:rPr>
        <w:t>学习教育从“有形覆盖”向“有效覆盖”深度转化。局党组</w:t>
      </w:r>
      <w:r>
        <w:rPr>
          <w:rFonts w:hint="eastAsia" w:ascii="仿宋_GB2312" w:hAnsi="仿宋_GB2312" w:eastAsia="仿宋_GB2312" w:cs="仿宋_GB2312"/>
          <w:color w:val="000000" w:themeColor="text1"/>
          <w:sz w:val="32"/>
          <w:szCs w:val="32"/>
          <w:lang w:eastAsia="zh-CN"/>
          <w14:textFill>
            <w14:solidFill>
              <w14:schemeClr w14:val="tx1"/>
            </w14:solidFill>
          </w14:textFill>
        </w:rPr>
        <w:t>与市纪委监委驻局纪检监察组会商</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全面从严治党工作2次，推动党风廉政建设和反腐败斗争向纵深发展。</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严肃执纪形成震慑。</w:t>
      </w:r>
      <w:r>
        <w:rPr>
          <w:rFonts w:hint="eastAsia" w:ascii="仿宋_GB2312" w:hAnsi="仿宋_GB2312" w:eastAsia="仿宋_GB2312" w:cs="仿宋_GB2312"/>
          <w:color w:val="000000" w:themeColor="text1"/>
          <w:sz w:val="32"/>
          <w:szCs w:val="32"/>
          <w14:textFill>
            <w14:solidFill>
              <w14:schemeClr w14:val="tx1"/>
            </w14:solidFill>
          </w14:textFill>
        </w:rPr>
        <w:t>给予党纪政务处分12人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批评教育1人，责令检查1人，诫勉1人，让干部</w:t>
      </w:r>
      <w:r>
        <w:rPr>
          <w:rFonts w:hint="eastAsia" w:ascii="仿宋_GB2312" w:hAnsi="仿宋_GB2312" w:eastAsia="仿宋_GB2312" w:cs="仿宋_GB2312"/>
          <w:color w:val="000000" w:themeColor="text1"/>
          <w:sz w:val="32"/>
          <w:szCs w:val="32"/>
          <w:lang w:eastAsia="zh-CN"/>
          <w14:textFill>
            <w14:solidFill>
              <w14:schemeClr w14:val="tx1"/>
            </w14:solidFill>
          </w14:textFill>
        </w:rPr>
        <w:t>职工</w:t>
      </w:r>
      <w:r>
        <w:rPr>
          <w:rFonts w:hint="eastAsia" w:ascii="仿宋_GB2312" w:hAnsi="仿宋_GB2312" w:eastAsia="仿宋_GB2312" w:cs="仿宋_GB2312"/>
          <w:color w:val="000000" w:themeColor="text1"/>
          <w:sz w:val="32"/>
          <w:szCs w:val="32"/>
          <w14:textFill>
            <w14:solidFill>
              <w14:schemeClr w14:val="tx1"/>
            </w14:solidFill>
          </w14:textFill>
        </w:rPr>
        <w:t>受警醒、明底线、知敬畏。健全市城管执法支队、市城管事务中心</w:t>
      </w:r>
      <w:r>
        <w:rPr>
          <w:rFonts w:hint="eastAsia" w:ascii="仿宋_GB2312" w:hAnsi="仿宋_GB2312" w:eastAsia="仿宋_GB2312" w:cs="仿宋_GB2312"/>
          <w:color w:val="000000" w:themeColor="text1"/>
          <w:sz w:val="32"/>
          <w:szCs w:val="32"/>
          <w:lang w:eastAsia="zh-CN"/>
          <w14:textFill>
            <w14:solidFill>
              <w14:schemeClr w14:val="tx1"/>
            </w14:solidFill>
          </w14:textFill>
        </w:rPr>
        <w:t>、市市政维护管理中心、市城市照明管理中心</w:t>
      </w:r>
      <w:r>
        <w:rPr>
          <w:rFonts w:hint="eastAsia" w:ascii="仿宋_GB2312" w:hAnsi="仿宋_GB2312" w:eastAsia="仿宋_GB2312" w:cs="仿宋_GB2312"/>
          <w:color w:val="000000" w:themeColor="text1"/>
          <w:sz w:val="32"/>
          <w:szCs w:val="32"/>
          <w14:textFill>
            <w14:solidFill>
              <w14:schemeClr w14:val="tx1"/>
            </w14:solidFill>
          </w14:textFill>
        </w:rPr>
        <w:t>等局属单位基层纪委</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组织</w:t>
      </w:r>
      <w:r>
        <w:rPr>
          <w:rFonts w:hint="eastAsia" w:ascii="仿宋_GB2312" w:hAnsi="仿宋_GB2312" w:eastAsia="仿宋_GB2312" w:cs="仿宋_GB2312"/>
          <w:color w:val="000000" w:themeColor="text1"/>
          <w:sz w:val="32"/>
          <w:szCs w:val="32"/>
          <w14:textFill>
            <w14:solidFill>
              <w14:schemeClr w14:val="tx1"/>
            </w14:solidFill>
          </w14:textFill>
        </w:rPr>
        <w:t>，延伸监督触角</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激活基层纪检</w:t>
      </w:r>
      <w:r>
        <w:rPr>
          <w:rFonts w:hint="eastAsia" w:ascii="仿宋_GB2312" w:hAnsi="仿宋_GB2312" w:eastAsia="仿宋_GB2312" w:cs="仿宋_GB2312"/>
          <w:color w:val="000000" w:themeColor="text1"/>
          <w:sz w:val="32"/>
          <w:szCs w:val="32"/>
          <w:lang w:eastAsia="zh-CN"/>
          <w14:textFill>
            <w14:solidFill>
              <w14:schemeClr w14:val="tx1"/>
            </w14:solidFill>
          </w14:textFill>
        </w:rPr>
        <w:t>组织战斗力</w:t>
      </w:r>
      <w:r>
        <w:rPr>
          <w:rFonts w:hint="eastAsia" w:ascii="仿宋_GB2312" w:hAnsi="仿宋_GB2312" w:eastAsia="仿宋_GB2312" w:cs="仿宋_GB2312"/>
          <w:color w:val="000000" w:themeColor="text1"/>
          <w:sz w:val="32"/>
          <w:szCs w:val="32"/>
          <w14:textFill>
            <w14:solidFill>
              <w14:schemeClr w14:val="tx1"/>
            </w14:solidFill>
          </w14:textFill>
        </w:rPr>
        <w:t>。</w:t>
      </w:r>
    </w:p>
    <w:p w14:paraId="7CAD4E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0"/>
          <w:sz w:val="32"/>
          <w:szCs w:val="32"/>
          <w:lang w:eastAsia="zh-CN"/>
        </w:rPr>
      </w:pP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预算执行存在偏差。2025年年初预算数为</w:t>
      </w:r>
      <w:r>
        <w:rPr>
          <w:rFonts w:hint="eastAsia" w:ascii="Times New Roman" w:hAnsi="Times New Roman" w:eastAsia="仿宋_GB2312" w:cs="Times New Roman"/>
          <w:sz w:val="32"/>
          <w:szCs w:val="32"/>
          <w:highlight w:val="none"/>
        </w:rPr>
        <w:t>17692.76万元，决算数为52195.31万元，</w:t>
      </w:r>
      <w:r>
        <w:rPr>
          <w:rFonts w:hint="eastAsia" w:ascii="Times New Roman" w:hAnsi="Times New Roman" w:eastAsia="仿宋_GB2312" w:cs="Times New Roman"/>
          <w:sz w:val="32"/>
          <w:szCs w:val="32"/>
        </w:rPr>
        <w:t>主要原因一方面系根据年中工作实际情况及时调整预算，另一方面也反映出部门间沟通不够，资金申请不够及时，预算编制不够全面、完整</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政府采购管理有待加强。2025年政府采购年中追加预算金额较大，政府采购预算编制不够全面，同时涉及到政府采购项目问题整改情况，主要问题涉及采购实施计划中评标方法及标准未统一、资料缺失、部分流程不规范等问题</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完善项目资金绩效管理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1.强化事前评估。预算编制起始阶段按项目紧迫性和成本效益分析，对项目支出进行科学合理的优先级排序，针对项目的必要性、经济性、目标合理性、方案可行性等方面进行源头把控。2.强化事中跟踪。预算执行中与业务科室协作开展事中绩效跟踪监控。围绕年初绩效目标，分析预算执行进度，监控财政资金的预计产出和执行效果，做到全覆盖、无死角，防止出现偏离绩效目标的现象。加强各业务科室间沟通协调，掌握项目工作进度，要求业务科室定期填报项目支出绩效自评表，按照项目实施进度和合同规定及时跟进预算资金申请和支付流程，进一步提高预算执行率。加强单位部门间沟通与协作，根据项目实施进度及时向财政部门申请预算资金，提高资金支付效率。3.强化事后评价。将绩效目标的编报质量、绩效运行监控的实际情况及绩效评价的最终结果，作为下一年度预算安排和政策调整的参考依据，确保财政资源的有效配置和政策的精准实施</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提高政府采购管理水平</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制定政府采购相关政策、法律法规、业务知识的培训计划，组织开展业务培训，提高工作人员业务水平。切实履行政府采购主体责任，严格按照政府采购相关法律法规进行采购，避免再次出现类似问题。严格代理机构选取标准，严把政府采购审核，确保招投标程序合法合规、公平公正</w:t>
      </w:r>
      <w:r>
        <w:rPr>
          <w:rFonts w:ascii="Times New Roman" w:hAnsi="Times New Roman" w:eastAsia="仿宋_GB2312" w:cs="Times New Roman"/>
          <w:sz w:val="32"/>
          <w:szCs w:val="32"/>
        </w:rPr>
        <w:t>。</w:t>
      </w:r>
    </w:p>
    <w:p w14:paraId="26993554">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b/>
          <w:bCs/>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日常工作经费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125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123.72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98.98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非税执收经费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50.5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61.68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112%</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企业军转干部补助</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0.89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0.89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市城区主要道路人行道海绵城市生态提质改造</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1639.54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1639.54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岳阳市蛇皮套和三大湖综合整治工程</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3758.83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3758.83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花果畈垃圾处理场封场</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618.39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390.27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96.3</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巴陵中路（琵琶王立交桥-德胜路）绿化海绵改造工程</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300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220.6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73.53%</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97.35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旅发大会市容市貌提质改造项目</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14056.21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13545.19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96.36%</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99.64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生活垃圾分类、城市管理考评专项经费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200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150.04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岳阳市2025年岳阳市中心城区春节氛围营造摆花工程</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200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195.98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97.99%</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园林绿化事务管理经费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76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68.45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90.07%</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99.01</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2025年鲜花一条街生产维护管理项目经费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115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87.2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75.83%</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97.58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岳阳市城陵矶新港区城市基础设施生命线安全工程</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425.2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30.242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7.11%</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90.71</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2025年船舶垃圾收集经费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133.71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101.96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97.6</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巴陵大桥西蘑菇亭公共绿地综合改造</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314.46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110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34.98%</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93.5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b w:val="0"/>
          <w:bCs/>
          <w:color w:val="000000"/>
          <w:kern w:val="2"/>
          <w:sz w:val="32"/>
          <w:szCs w:val="32"/>
          <w:highlight w:val="none"/>
          <w:lang w:val="en-US" w:eastAsia="zh-CN" w:bidi="ar-SA"/>
        </w:rPr>
        <w:t>发现的主要问题及原因：一是年初预算编制不够准确，预算编制方法有待改进；二是项目预算执行过程中，实际支出与年初支出计划存在一定差异，预算执行不够精准。下一步改进措施：一是强化事前评估和事后评价工作。结合单位实际情况，采取科学合理的预算编制方法，有针对性地进行编制，提高预算编制的科学性、前瞻性，并将绩效目标的编报质量、绩效运行监控的实际情况及绩效评价的最终结果，作为下一年度预算安排和政策调整的参考依据；二是强化事中跟踪。预算执行中与业务科室协作开展事中绩效跟踪监控，围绕年初绩效目标，分析预算执行进度，监控财政资金的预计产出和执行效果，做到全覆盖、无死角，防止出现偏离绩效目标的现象。</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城市燃气管道老化更新改造工程经费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525.20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525.20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其他事务管理经费（赔偿款）</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60.71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60.71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双拥示范街区建设</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36.26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36.26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市城区桥梁检测服务（9座）</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134.68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134.68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青年堤等排水主涵清淤工程</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12.59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12.59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岳阳市城市管理和综合执法局</w:t>
      </w:r>
      <w:r>
        <w:rPr>
          <w:rFonts w:hint="eastAsia" w:ascii="Times New Roman" w:hAnsi="Times New Roman" w:eastAsia="仿宋_GB2312" w:cs="Times New Roman"/>
          <w:sz w:val="32"/>
          <w:szCs w:val="32"/>
        </w:rPr>
        <w:t>巴陵石化公司（原洞氮）权属泵站维修改造工程</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17.42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17.4</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发现的主要问题及原因：无。</w:t>
      </w:r>
    </w:p>
    <w:p w14:paraId="2EEEE4F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岳阳市城市管理综合行政执法支队城管事务管理经费项目和协管员经费项目全年预算数分别为170.82万元和187.59万元，执行数分别为170.82万元和187.59万元，分别完成预算的100%和100%，部门评价得分分别为99分和98分，评价等级均为“优秀”。发现的主要问题及原因：一是部分基建场地扬尘治理有待加强监管；二是社保基数逐年上涨。下一步改进措施：加强巡查，切实管控好污染源。</w:t>
      </w:r>
    </w:p>
    <w:p w14:paraId="339393F4">
      <w:pPr>
        <w:ind w:firstLine="640" w:firstLineChars="200"/>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岳阳市城市管理事务中心市容环境管理维护经费项目全年预算数340万元，执行数445.09万元，完成预算的100%，部门评价得分95分，评价等级为“优”。发现的主要问题及原因：无。岳阳市城市管理事务中心市中心城区大型垃圾中转站运转及运行经费项目全年预算数1850万元，执行数1999.38万元，完成预算的100%，部门评价得分100分，评价等级为“优”。发现的主要问题及原因：无。</w:t>
      </w:r>
    </w:p>
    <w:p w14:paraId="56A939B7">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岳阳市市政维护管理中心市政维护专项经费（含日常工作经费）项目全年预算数2631.50万元，执行数2631.50万元，完成预算的100%，部门评价得分98分，评价等级为“优”。发现的主要问题及原因：一是部分井盖维护及时性有待加强；二是少数人行道隔离桩损坏导致人行道违停车辆增加。下一步改进措施：一是加强巡查，及时维护处置；二是加强巡查及时进行安装处置。岳阳市市政维护管理中心泵站运行费及电费(含城东南路泵站）</w:t>
      </w:r>
      <w:r>
        <w:rPr>
          <w:rFonts w:hint="eastAsia" w:ascii="Times New Roman" w:hAnsi="Times New Roman" w:eastAsia="仿宋_GB2312" w:cs="Times New Roman"/>
          <w:sz w:val="32"/>
          <w:szCs w:val="32"/>
          <w:lang w:val="en-US" w:eastAsia="zh-CN"/>
        </w:rPr>
        <w:t>项目</w:t>
      </w:r>
      <w:r>
        <w:rPr>
          <w:rFonts w:hint="eastAsia" w:ascii="Times New Roman" w:hAnsi="Times New Roman" w:eastAsia="仿宋_GB2312" w:cs="Times New Roman"/>
          <w:sz w:val="32"/>
          <w:szCs w:val="32"/>
        </w:rPr>
        <w:t>全年预算数1240.00万元，执行数1240.00万元，完成预算的100%，部门评价得分99分，评价等级为“优”。发现的主要问题及原因：夏天泵站除臭还有待加强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下一步改进措施：加强管理，及时进行有效处置。岳阳市市政维护管理中心原市政建设总公司改制经费项目全年预算数260.07万元，执行数259.90万元，完成预算的</w:t>
      </w:r>
      <w:r>
        <w:rPr>
          <w:rFonts w:hint="eastAsia" w:ascii="Times New Roman" w:hAnsi="Times New Roman" w:eastAsia="仿宋_GB2312" w:cs="Times New Roman"/>
          <w:sz w:val="32"/>
          <w:szCs w:val="32"/>
          <w:lang w:val="en-US" w:eastAsia="zh-CN"/>
        </w:rPr>
        <w:t>99.93</w:t>
      </w:r>
      <w:r>
        <w:rPr>
          <w:rFonts w:hint="eastAsia" w:ascii="Times New Roman" w:hAnsi="Times New Roman" w:eastAsia="仿宋_GB2312" w:cs="Times New Roman"/>
          <w:sz w:val="32"/>
          <w:szCs w:val="32"/>
        </w:rPr>
        <w:t>%，部门评价得分98</w:t>
      </w:r>
      <w:r>
        <w:rPr>
          <w:rFonts w:hint="eastAsia" w:ascii="Times New Roman" w:hAnsi="Times New Roman" w:eastAsia="仿宋_GB2312" w:cs="Times New Roman"/>
          <w:sz w:val="32"/>
          <w:szCs w:val="32"/>
          <w:lang w:val="en-US" w:eastAsia="zh-CN"/>
        </w:rPr>
        <w:t>.99</w:t>
      </w:r>
      <w:r>
        <w:rPr>
          <w:rFonts w:hint="eastAsia" w:ascii="Times New Roman" w:hAnsi="Times New Roman" w:eastAsia="仿宋_GB2312" w:cs="Times New Roman"/>
          <w:sz w:val="32"/>
          <w:szCs w:val="32"/>
        </w:rPr>
        <w:t>分，评价等级为“优”。发现的主要问题及原因：部分遗留问题处置进程有待加快</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下一步改进措施：加强沟通协调，加快遗留问题处置进程。岳阳市市政维护管理中心旅发大会桥梁隧道涂装翻新项目全年预算数267.45万元，执行数256.94万元，完成预算的</w:t>
      </w:r>
      <w:r>
        <w:rPr>
          <w:rFonts w:hint="eastAsia" w:ascii="Times New Roman" w:hAnsi="Times New Roman" w:eastAsia="仿宋_GB2312" w:cs="Times New Roman"/>
          <w:sz w:val="32"/>
          <w:szCs w:val="32"/>
          <w:lang w:val="en-US" w:eastAsia="zh-CN"/>
        </w:rPr>
        <w:t>96.07</w:t>
      </w:r>
      <w:r>
        <w:rPr>
          <w:rFonts w:hint="eastAsia"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97.61</w:t>
      </w:r>
      <w:r>
        <w:rPr>
          <w:rFonts w:hint="eastAsia" w:ascii="Times New Roman" w:hAnsi="Times New Roman" w:eastAsia="仿宋_GB2312" w:cs="Times New Roman"/>
          <w:sz w:val="32"/>
          <w:szCs w:val="32"/>
        </w:rPr>
        <w:t>分，评价等级为“优”。发现的主要问题及原因：市政设施整体容貌有待进一步提高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下一步改进措施：加强精细化管养，提升整体效果。岳阳市市政维护管理中心巴陵石化公司老厂区原泵站维修改造项目全年预算数455.31万元，执行数455.31万元，完成预算的100%，部门评价得分</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分，评价等级为“优”。发现的主要问题及原因：无。岳阳市市政维护管理中心青年堤等四条城市排水主涵清淤项目全年预算数299.33万元，执行数299.33万元，完成预算的100%，部门评价得分</w:t>
      </w:r>
      <w:r>
        <w:rPr>
          <w:rFonts w:hint="eastAsia" w:ascii="Times New Roman" w:hAnsi="Times New Roman" w:eastAsia="仿宋_GB2312" w:cs="Times New Roman"/>
          <w:sz w:val="32"/>
          <w:szCs w:val="32"/>
          <w:lang w:val="en-US" w:eastAsia="zh-CN"/>
        </w:rPr>
        <w:t>99</w:t>
      </w:r>
      <w:r>
        <w:rPr>
          <w:rFonts w:hint="eastAsia" w:ascii="Times New Roman" w:hAnsi="Times New Roman" w:eastAsia="仿宋_GB2312" w:cs="Times New Roman"/>
          <w:sz w:val="32"/>
          <w:szCs w:val="32"/>
        </w:rPr>
        <w:t>分，评价等级为“优”。发现的主要问题及原因：城区尚存急需清理的管网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下一步改进措施：争取相关部门支持，及时开展清淤工作。岳阳市市政维护管理中心非税执收经费项目全年预算数11.98万元，执行数11.98万元，完成预算的100%，部门评价得分</w:t>
      </w:r>
      <w:r>
        <w:rPr>
          <w:rFonts w:hint="eastAsia" w:ascii="Times New Roman" w:hAnsi="Times New Roman" w:eastAsia="仿宋_GB2312" w:cs="Times New Roman"/>
          <w:sz w:val="32"/>
          <w:szCs w:val="32"/>
          <w:lang w:val="en-US" w:eastAsia="zh-CN"/>
        </w:rPr>
        <w:t>98</w:t>
      </w:r>
      <w:r>
        <w:rPr>
          <w:rFonts w:hint="eastAsia" w:ascii="Times New Roman" w:hAnsi="Times New Roman" w:eastAsia="仿宋_GB2312" w:cs="Times New Roman"/>
          <w:sz w:val="32"/>
          <w:szCs w:val="32"/>
        </w:rPr>
        <w:t>分，评价等级为“优”。发现的主要问题及原因：部分单位损坏市政设施后选择自行修复，但由于修复标准不一，影响整体效果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下一步改进措施：加强宣传与管理，统一修复标准，提升市政设施整体效果。</w:t>
      </w:r>
    </w:p>
    <w:p w14:paraId="3B7F8724">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岳阳市城市照明管理中心路灯及公用亮化设施维护费和运行电费项目全年预算数2689万元，执行数2689万元，完成预算的100%，部门评价得分99分，评价等级为“优秀”。发现的主要问题及原因：节能灯具更新进程有待加快。下一步改进措施：一是加快推进老旧设施更新改造；二是深化智慧照明与节能改造，全面推进单灯智能控制系统建设，确保城区主次干道单灯控制器安装使用率达到70%以上，实现精准控制、按需照明、节能降耗。岳阳市城市照明管理中心全城临街楼宇亮化设施电费项目全年预算数500万元，执行数500万元，完成预算的100%，部门评价得分99分，评价等级为“优秀”。发现的主要问题及原因：亮化设施节能改造工作进度有待加快。下一步改进措施：合理调配资金，加快节能改造，提高市民的幸福感、安全感，提升城市整体形象，间接助力岳阳经济发展。</w:t>
      </w:r>
    </w:p>
    <w:p w14:paraId="25BE69D2">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仿宋_GB2312"/>
          <w:b w:val="0"/>
          <w:bCs/>
          <w:sz w:val="32"/>
          <w:szCs w:val="32"/>
          <w:highlight w:val="none"/>
          <w:lang w:val="en-US" w:eastAsia="zh-CN"/>
        </w:rPr>
        <w:t>岳阳市智慧城管指挥中心2025年城市事件和部件采集服务费项目全年预算数300万元，执行数298.45万元，完成预算的99.48%，部门评价得分98.95分，评价等级为“优秀”。</w:t>
      </w:r>
      <w:r>
        <w:rPr>
          <w:rFonts w:hint="eastAsia" w:ascii="Times New Roman" w:hAnsi="Times New Roman" w:eastAsia="仿宋_GB2312" w:cs="Times New Roman"/>
          <w:sz w:val="32"/>
          <w:szCs w:val="32"/>
          <w:lang w:val="en-US" w:eastAsia="zh-CN"/>
        </w:rPr>
        <w:t>发现的主要问题及原因：采集范围应及时调整，涵盖城乡结合部管理。下一步改进措施：及时调整采集范围，以进一步优化管理。</w:t>
      </w:r>
      <w:r>
        <w:rPr>
          <w:rFonts w:hint="eastAsia" w:ascii="Times New Roman" w:hAnsi="Times New Roman" w:eastAsia="仿宋_GB2312" w:cs="仿宋_GB2312"/>
          <w:b w:val="0"/>
          <w:bCs/>
          <w:sz w:val="32"/>
          <w:szCs w:val="32"/>
          <w:highlight w:val="none"/>
          <w:lang w:val="en-US" w:eastAsia="zh-CN"/>
        </w:rPr>
        <w:t>岳阳市智慧城管指挥中心</w:t>
      </w:r>
      <w:r>
        <w:rPr>
          <w:rFonts w:hint="eastAsia" w:ascii="Times New Roman" w:hAnsi="Times New Roman" w:eastAsia="仿宋_GB2312" w:cs="仿宋_GB2312"/>
          <w:b w:val="0"/>
          <w:bCs/>
          <w:sz w:val="32"/>
          <w:szCs w:val="32"/>
          <w:highlight w:val="none"/>
          <w:lang w:val="en-US" w:eastAsia="zh-CN"/>
        </w:rPr>
        <w:t>中心平台坐席员劳务派遣服务费项目全年预算数80万元，执行数95.45万元，完成预算的100%，部门评价得分97分，评价等级为“优秀”</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Times New Roman"/>
          <w:sz w:val="32"/>
          <w:szCs w:val="32"/>
          <w:lang w:val="en-US" w:eastAsia="zh-CN"/>
        </w:rPr>
        <w:t>发现的主要问题及原因：一是随着城市管理水平的不断提升，城市管理案件数量呈下降趋势；二是因2025年预算缩减，裁减4名坐席员，产生经济补偿金；三是商业噪音偶有发生。下一步改进措施：一是进一步加强信息采集的范围和及时性管理，提升管理水平；二是加强管理。</w:t>
      </w:r>
      <w:r>
        <w:rPr>
          <w:rFonts w:hint="eastAsia" w:ascii="Times New Roman" w:hAnsi="Times New Roman" w:eastAsia="仿宋_GB2312" w:cs="仿宋_GB2312"/>
          <w:b w:val="0"/>
          <w:bCs/>
          <w:sz w:val="32"/>
          <w:szCs w:val="32"/>
          <w:highlight w:val="none"/>
          <w:lang w:val="en-US" w:eastAsia="zh-CN"/>
        </w:rPr>
        <w:t>岳阳市智慧城管指挥中心</w:t>
      </w:r>
      <w:r>
        <w:rPr>
          <w:rFonts w:hint="eastAsia" w:ascii="Times New Roman" w:hAnsi="Times New Roman" w:eastAsia="仿宋_GB2312" w:cs="仿宋_GB2312"/>
          <w:b w:val="0"/>
          <w:bCs/>
          <w:sz w:val="32"/>
          <w:szCs w:val="32"/>
          <w:highlight w:val="none"/>
          <w:lang w:val="en-US" w:eastAsia="zh-CN"/>
        </w:rPr>
        <w:t>一期通讯运营租赁服务项目全年预算数31万元，执行数31万元，完成预算的100%，部门评价得分99分，评价等级为“优秀”；</w:t>
      </w:r>
      <w:r>
        <w:rPr>
          <w:rFonts w:hint="eastAsia" w:ascii="Times New Roman" w:hAnsi="Times New Roman" w:eastAsia="仿宋_GB2312" w:cs="仿宋_GB2312"/>
          <w:b w:val="0"/>
          <w:bCs/>
          <w:sz w:val="32"/>
          <w:szCs w:val="32"/>
          <w:highlight w:val="none"/>
          <w:lang w:val="en-US" w:eastAsia="zh-CN"/>
        </w:rPr>
        <w:t>二期通讯运营租赁费项目全年预算数40万元，执行数40万元，完成预算的100%，部门评价得分99分，评价等级为“优秀”；软件、数据库及设备维护经费项目全年预算数</w:t>
      </w:r>
      <w:r>
        <w:rPr>
          <w:rFonts w:hint="eastAsia" w:ascii="Times New Roman" w:hAnsi="Times New Roman" w:eastAsia="仿宋_GB2312" w:cs="仿宋_GB2312"/>
          <w:b w:val="0"/>
          <w:bCs/>
          <w:sz w:val="32"/>
          <w:szCs w:val="32"/>
          <w:highlight w:val="none"/>
          <w:lang w:val="en" w:eastAsia="zh-CN"/>
        </w:rPr>
        <w:t>49</w:t>
      </w:r>
      <w:r>
        <w:rPr>
          <w:rFonts w:hint="eastAsia" w:ascii="Times New Roman" w:hAnsi="Times New Roman" w:eastAsia="仿宋_GB2312" w:cs="仿宋_GB2312"/>
          <w:b w:val="0"/>
          <w:bCs/>
          <w:sz w:val="32"/>
          <w:szCs w:val="32"/>
          <w:highlight w:val="none"/>
          <w:lang w:val="en-US" w:eastAsia="zh-CN"/>
        </w:rPr>
        <w:t>万元，执行数</w:t>
      </w:r>
      <w:r>
        <w:rPr>
          <w:rFonts w:hint="eastAsia" w:ascii="Times New Roman" w:hAnsi="Times New Roman" w:eastAsia="仿宋_GB2312" w:cs="仿宋_GB2312"/>
          <w:b w:val="0"/>
          <w:bCs/>
          <w:sz w:val="32"/>
          <w:szCs w:val="32"/>
          <w:highlight w:val="none"/>
          <w:lang w:val="en" w:eastAsia="zh-CN"/>
        </w:rPr>
        <w:t>49</w:t>
      </w:r>
      <w:r>
        <w:rPr>
          <w:rFonts w:hint="eastAsia" w:ascii="Times New Roman" w:hAnsi="Times New Roman" w:eastAsia="仿宋_GB2312" w:cs="仿宋_GB2312"/>
          <w:b w:val="0"/>
          <w:bCs/>
          <w:sz w:val="32"/>
          <w:szCs w:val="32"/>
          <w:highlight w:val="none"/>
          <w:lang w:val="en-US" w:eastAsia="zh-CN"/>
        </w:rPr>
        <w:t>万元，完成预算的100%，部门评价得分98分，评价等级为“优秀”；设备运行及办公用电费项目全年预算数</w:t>
      </w:r>
      <w:r>
        <w:rPr>
          <w:rFonts w:hint="eastAsia" w:ascii="Times New Roman" w:hAnsi="Times New Roman" w:eastAsia="仿宋_GB2312" w:cs="仿宋_GB2312"/>
          <w:b w:val="0"/>
          <w:bCs/>
          <w:sz w:val="32"/>
          <w:szCs w:val="32"/>
          <w:highlight w:val="none"/>
          <w:lang w:val="en" w:eastAsia="zh-CN"/>
        </w:rPr>
        <w:t>23.6</w:t>
      </w:r>
      <w:r>
        <w:rPr>
          <w:rFonts w:hint="eastAsia" w:ascii="Times New Roman" w:hAnsi="Times New Roman" w:eastAsia="仿宋_GB2312" w:cs="仿宋_GB2312"/>
          <w:b w:val="0"/>
          <w:bCs/>
          <w:sz w:val="32"/>
          <w:szCs w:val="32"/>
          <w:highlight w:val="none"/>
          <w:lang w:val="en-US" w:eastAsia="zh-CN"/>
        </w:rPr>
        <w:t>万元，执行数</w:t>
      </w:r>
      <w:r>
        <w:rPr>
          <w:rFonts w:hint="eastAsia" w:ascii="Times New Roman" w:hAnsi="Times New Roman" w:eastAsia="仿宋_GB2312" w:cs="仿宋_GB2312"/>
          <w:b w:val="0"/>
          <w:bCs/>
          <w:sz w:val="32"/>
          <w:szCs w:val="32"/>
          <w:highlight w:val="none"/>
          <w:lang w:val="en" w:eastAsia="zh-CN"/>
        </w:rPr>
        <w:t>23.6</w:t>
      </w:r>
      <w:r>
        <w:rPr>
          <w:rFonts w:hint="eastAsia" w:ascii="Times New Roman" w:hAnsi="Times New Roman" w:eastAsia="仿宋_GB2312" w:cs="仿宋_GB2312"/>
          <w:b w:val="0"/>
          <w:bCs/>
          <w:sz w:val="32"/>
          <w:szCs w:val="32"/>
          <w:highlight w:val="none"/>
          <w:lang w:val="en-US" w:eastAsia="zh-CN"/>
        </w:rPr>
        <w:t>万元，完成预算的100%，部门评价得分99分，评价等级为“优秀”</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Times New Roman"/>
          <w:sz w:val="32"/>
          <w:szCs w:val="32"/>
          <w:lang w:eastAsia="zh-CN"/>
        </w:rPr>
        <w:t>。</w:t>
      </w:r>
    </w:p>
    <w:p w14:paraId="3003BF44">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仿宋_GB2312"/>
          <w:b w:val="0"/>
          <w:bCs/>
          <w:sz w:val="32"/>
          <w:szCs w:val="32"/>
          <w:highlight w:val="none"/>
          <w:lang w:val="en-US" w:eastAsia="zh-CN"/>
        </w:rPr>
        <w:t>岳阳市停车管理服务中心城管事务经费项目全年预算数50.00万元，执行数50.00万元，完成预算的100%，部门评价得分96分，评价等级为“优秀”。</w:t>
      </w:r>
      <w:r>
        <w:rPr>
          <w:rFonts w:hint="eastAsia" w:ascii="Times New Roman" w:hAnsi="Times New Roman" w:eastAsia="仿宋_GB2312" w:cs="Times New Roman"/>
          <w:sz w:val="32"/>
          <w:szCs w:val="32"/>
          <w:lang w:val="en-US" w:eastAsia="zh-CN"/>
        </w:rPr>
        <w:t>发现的主要问题及原因：一是因车辆管理信息平台升级，有一段时间未发送相关信息；二是重大政策调整，部门需建立车辆管理信息平台；三是停车管理经常性、持续性有待加强。下一步改进措施：一是加强停车秩序管理；二是加强常态化管理。</w:t>
      </w:r>
      <w:r>
        <w:rPr>
          <w:rFonts w:hint="eastAsia" w:ascii="Times New Roman" w:hAnsi="Times New Roman" w:eastAsia="仿宋_GB2312" w:cs="仿宋_GB2312"/>
          <w:b w:val="0"/>
          <w:bCs/>
          <w:sz w:val="32"/>
          <w:szCs w:val="32"/>
          <w:highlight w:val="none"/>
          <w:lang w:val="en-US" w:eastAsia="zh-CN"/>
        </w:rPr>
        <w:t>岳阳市停车管理服务中心</w:t>
      </w:r>
      <w:r>
        <w:rPr>
          <w:rFonts w:hint="eastAsia" w:ascii="Times New Roman" w:hAnsi="Times New Roman" w:eastAsia="仿宋_GB2312" w:cs="Times New Roman"/>
          <w:sz w:val="32"/>
          <w:szCs w:val="32"/>
          <w:lang w:val="en-US" w:eastAsia="zh-CN"/>
        </w:rPr>
        <w:t>协管员经费</w:t>
      </w:r>
      <w:r>
        <w:rPr>
          <w:rFonts w:hint="eastAsia" w:ascii="Times New Roman" w:hAnsi="Times New Roman" w:eastAsia="仿宋_GB2312" w:cs="仿宋_GB2312"/>
          <w:b w:val="0"/>
          <w:bCs/>
          <w:sz w:val="32"/>
          <w:szCs w:val="32"/>
          <w:highlight w:val="none"/>
          <w:lang w:val="en-US" w:eastAsia="zh-CN"/>
        </w:rPr>
        <w:t>项目全年预算数22.50万元，执行数22.50万元，完成预算的100%，部门评价得分100分，评价等级为“优秀”。</w:t>
      </w:r>
      <w:r>
        <w:rPr>
          <w:rFonts w:hint="eastAsia" w:ascii="Times New Roman" w:hAnsi="Times New Roman" w:eastAsia="仿宋_GB2312" w:cs="Times New Roman"/>
          <w:sz w:val="32"/>
          <w:szCs w:val="32"/>
        </w:rPr>
        <w:t>发现的主要问题及原因：无</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lang w:val="en-US" w:eastAsia="zh-CN"/>
        </w:rPr>
        <w:t>岳阳市停车管理服务中心</w:t>
      </w:r>
      <w:r>
        <w:rPr>
          <w:rFonts w:hint="eastAsia" w:ascii="Times New Roman" w:hAnsi="Times New Roman" w:eastAsia="仿宋_GB2312" w:cs="仿宋_GB2312"/>
          <w:b w:val="0"/>
          <w:bCs/>
          <w:sz w:val="32"/>
          <w:szCs w:val="32"/>
          <w:highlight w:val="none"/>
          <w:lang w:val="en-US" w:eastAsia="zh-CN"/>
        </w:rPr>
        <w:t>办案费项目全年预算数10.13万元，执行数10.13万元，完成预算的100%，部门评价得分96分，评价等级为“优秀”。</w:t>
      </w:r>
      <w:r>
        <w:rPr>
          <w:rFonts w:hint="eastAsia" w:ascii="Times New Roman" w:hAnsi="Times New Roman" w:eastAsia="仿宋_GB2312" w:cs="Times New Roman"/>
          <w:sz w:val="32"/>
          <w:szCs w:val="32"/>
          <w:lang w:val="en-US" w:eastAsia="zh-CN"/>
        </w:rPr>
        <w:t>发现的主要问题及原因：一是有待进一步挖掘停车资源；二是有待进一步提升。下一步改进措施：一是加强巡查盘活公共停车资源；二是加大管理力度，改善城市整体形象。</w:t>
      </w:r>
      <w:r>
        <w:rPr>
          <w:rFonts w:hint="eastAsia" w:ascii="Times New Roman" w:hAnsi="Times New Roman" w:eastAsia="仿宋_GB2312" w:cs="仿宋_GB2312"/>
          <w:b w:val="0"/>
          <w:bCs/>
          <w:sz w:val="32"/>
          <w:szCs w:val="32"/>
          <w:highlight w:val="none"/>
          <w:lang w:val="en-US" w:eastAsia="zh-CN"/>
        </w:rPr>
        <w:t>岳阳市停车管理服务中心</w:t>
      </w:r>
      <w:r>
        <w:rPr>
          <w:rFonts w:hint="eastAsia" w:ascii="Times New Roman" w:hAnsi="Times New Roman" w:eastAsia="仿宋_GB2312" w:cs="仿宋_GB2312"/>
          <w:b w:val="0"/>
          <w:bCs/>
          <w:sz w:val="32"/>
          <w:szCs w:val="32"/>
          <w:highlight w:val="none"/>
          <w:lang w:val="en-US" w:eastAsia="zh-CN"/>
        </w:rPr>
        <w:t>中心城区停车收费项目前期工作经费项目全年预算数148.98万元，执行数144.96万元，完成预算的97.30%，部门评价得分98.73分，评价等级为“优秀”。</w:t>
      </w:r>
      <w:r>
        <w:rPr>
          <w:rFonts w:hint="eastAsia" w:ascii="Times New Roman" w:hAnsi="Times New Roman" w:eastAsia="仿宋_GB2312" w:cs="Times New Roman"/>
          <w:sz w:val="32"/>
          <w:szCs w:val="32"/>
          <w:lang w:val="en-US" w:eastAsia="zh-CN"/>
        </w:rPr>
        <w:t>发现的主要问题及原因：挖掘停车潜力方面有待加强。下一步改进措施：充分利用城市现有资源，增加停车泊位。</w:t>
      </w:r>
    </w:p>
    <w:p w14:paraId="34E2860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岳阳市固体废物处置服务中心罗家坳无害化处理场渗滤液处理系统运营服务项目全年预算数252万元，执行数252万元，完成预算的100%，部门评价得分99分，评价等级为“优秀”。</w:t>
      </w:r>
      <w:r>
        <w:rPr>
          <w:rFonts w:hint="eastAsia" w:ascii="Times New Roman" w:hAnsi="Times New Roman" w:eastAsia="仿宋_GB2312" w:cs="Times New Roman"/>
          <w:sz w:val="32"/>
          <w:szCs w:val="32"/>
        </w:rPr>
        <w:t>发现的主要问题及原因：无。</w:t>
      </w:r>
    </w:p>
    <w:p w14:paraId="2341618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岳阳市城市管理综合行政执法支队站场执法大队单位协管员经费(其他人员类支出)、城管事务经费(日常工作经费)等项目全年预算数870.00万元，执行数867.99万元，完成预算的99.77%，部门评价得分99.97分，评价等级为“优”。发现的主要问题及原因：</w:t>
      </w:r>
      <w:r>
        <w:rPr>
          <w:rFonts w:ascii="Times New Roman" w:hAnsi="Times New Roman" w:eastAsia="仿宋_GB2312" w:cs="Times New Roman"/>
          <w:sz w:val="32"/>
          <w:szCs w:val="32"/>
        </w:rPr>
        <w:t>一是</w:t>
      </w:r>
      <w:r>
        <w:rPr>
          <w:rFonts w:hint="eastAsia" w:ascii="Times New Roman" w:hAnsi="Times New Roman" w:eastAsia="仿宋_GB2312" w:cs="Times New Roman"/>
          <w:sz w:val="32"/>
          <w:szCs w:val="32"/>
        </w:rPr>
        <w:t>站场秩序管理常态化有待加强</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辖区内油烟管理有待加强</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加强管理提升场站秩序</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加强巡查，加大油烟管控力度</w:t>
      </w:r>
      <w:r>
        <w:rPr>
          <w:rFonts w:ascii="Times New Roman" w:hAnsi="Times New Roman" w:eastAsia="仿宋_GB2312" w:cs="Times New Roman"/>
          <w:sz w:val="32"/>
          <w:szCs w:val="32"/>
        </w:rPr>
        <w:t>。</w:t>
      </w:r>
    </w:p>
    <w:p w14:paraId="6DFAA3D9">
      <w:pPr>
        <w:overflowPunct w:val="0"/>
        <w:spacing w:line="600" w:lineRule="exact"/>
        <w:ind w:firstLine="640" w:firstLineChars="200"/>
        <w:rPr>
          <w:rFonts w:hint="eastAsia" w:ascii="Times New Roman" w:hAnsi="Times New Roman" w:eastAsia="仿宋_GB2312"/>
          <w:color w:val="FF0000"/>
          <w:sz w:val="32"/>
          <w:szCs w:val="32"/>
        </w:rPr>
      </w:pPr>
      <w:bookmarkStart w:id="0" w:name="_GoBack"/>
      <w:bookmarkEnd w:id="0"/>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kern w:val="0"/>
          <w:sz w:val="32"/>
          <w:szCs w:val="32"/>
          <w:highlight w:val="none"/>
          <w:lang w:eastAsia="zh-CN"/>
        </w:rPr>
        <w:t>本单位及所属单位本年度未开展事前绩效评估，所以无事前绩效评估结果。</w:t>
      </w:r>
    </w:p>
    <w:p w14:paraId="10B2C4CB">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6E45D403">
      <w:pPr>
        <w:numPr>
          <w:ilvl w:val="0"/>
          <w:numId w:val="0"/>
        </w:numPr>
        <w:autoSpaceDE w:val="0"/>
        <w:autoSpaceDN w:val="0"/>
        <w:adjustRightInd w:val="0"/>
        <w:ind w:firstLine="640" w:firstLineChars="200"/>
        <w:jc w:val="left"/>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年度我部门绩效自评结果为“优秀”，整体部门评价结果为“优秀”。遵照202</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年度预算执行情况，我部门继续贯彻厉行节约原则，在充分保障基本支出的基础上，严格编制202</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年项目预算，减少非必要项目预算，整合同类型项目资金申报，从整体上压缩项目预算资金。从严把控项目资金的使用，及时关注预算执行情况，确保资金使用效率和效果。同时，加强政府采购预算编制合规性审查，组织政府采购相关人员及代理单位召开整改专题会议，制定政府采购相关政策、法律法规、业务知识的培训计划，组织开展业务培训，提高工作人员业务水平。</w:t>
      </w:r>
    </w:p>
    <w:p w14:paraId="595551DF">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12D54838">
      <w:pPr>
        <w:pStyle w:val="7"/>
        <w:rPr>
          <w:rFonts w:hint="eastAsia"/>
          <w:lang w:val="en-US" w:eastAsia="zh-CN"/>
        </w:rPr>
      </w:pPr>
    </w:p>
    <w:p w14:paraId="29B5A3EB">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67D2DAB8">
      <w:pPr>
        <w:pStyle w:val="12"/>
        <w:jc w:val="both"/>
        <w:rPr>
          <w:rFonts w:hint="eastAsia" w:ascii="方正小标宋_GBK" w:hAnsi="方正小标宋_GBK" w:eastAsia="方正小标宋_GBK" w:cs="方正小标宋_GBK"/>
          <w:sz w:val="24"/>
          <w:szCs w:val="24"/>
        </w:rPr>
      </w:pPr>
    </w:p>
    <w:p w14:paraId="0552FEB9">
      <w:pPr>
        <w:pStyle w:val="12"/>
        <w:jc w:val="center"/>
        <w:rPr>
          <w:rFonts w:hint="eastAsia" w:ascii="方正小标宋_GBK" w:hAnsi="方正小标宋_GBK" w:eastAsia="方正小标宋_GBK" w:cs="方正小标宋_GBK"/>
          <w:sz w:val="72"/>
          <w:szCs w:val="72"/>
        </w:rPr>
      </w:pPr>
    </w:p>
    <w:p w14:paraId="2D8955C5">
      <w:pPr>
        <w:pStyle w:val="12"/>
        <w:jc w:val="center"/>
        <w:rPr>
          <w:rFonts w:hint="eastAsia" w:ascii="方正小标宋_GBK" w:hAnsi="方正小标宋_GBK" w:eastAsia="方正小标宋_GBK" w:cs="方正小标宋_GBK"/>
          <w:sz w:val="72"/>
          <w:szCs w:val="72"/>
        </w:rPr>
      </w:pPr>
    </w:p>
    <w:p w14:paraId="1B3BE9EE">
      <w:pPr>
        <w:pStyle w:val="12"/>
        <w:jc w:val="both"/>
        <w:rPr>
          <w:rFonts w:hint="eastAsia" w:ascii="方正小标宋_GBK" w:hAnsi="方正小标宋_GBK" w:eastAsia="方正小标宋_GBK" w:cs="方正小标宋_GBK"/>
          <w:sz w:val="72"/>
          <w:szCs w:val="72"/>
        </w:rPr>
      </w:pPr>
    </w:p>
    <w:p w14:paraId="6F9A2D89">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759379AA">
      <w:pPr>
        <w:jc w:val="center"/>
        <w:rPr>
          <w:rFonts w:hint="eastAsia" w:ascii="方正小标宋_GBK" w:hAnsi="方正小标宋_GBK" w:eastAsia="方正小标宋_GBK" w:cs="方正小标宋_GBK"/>
          <w:color w:val="000000"/>
          <w:kern w:val="0"/>
          <w:sz w:val="70"/>
          <w:szCs w:val="70"/>
        </w:rPr>
      </w:pPr>
    </w:p>
    <w:p w14:paraId="61EABA90">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2DFE5277">
      <w:pPr>
        <w:pStyle w:val="7"/>
      </w:pPr>
    </w:p>
    <w:p w14:paraId="070DC4C0">
      <w:pPr>
        <w:pStyle w:val="3"/>
      </w:pPr>
    </w:p>
    <w:p w14:paraId="70259DA8"/>
    <w:p w14:paraId="592DCB81">
      <w:pPr>
        <w:pStyle w:val="7"/>
      </w:pPr>
    </w:p>
    <w:p w14:paraId="75337BDF">
      <w:pPr>
        <w:pStyle w:val="3"/>
      </w:pPr>
    </w:p>
    <w:p w14:paraId="2C692F8C"/>
    <w:p w14:paraId="12AA9E61">
      <w:pPr>
        <w:pStyle w:val="7"/>
      </w:pPr>
    </w:p>
    <w:p w14:paraId="2830B1F6">
      <w:pPr>
        <w:pStyle w:val="3"/>
      </w:pPr>
    </w:p>
    <w:p w14:paraId="504CDFEF"/>
    <w:p w14:paraId="06E0806C">
      <w:pPr>
        <w:pStyle w:val="7"/>
      </w:pPr>
    </w:p>
    <w:p w14:paraId="6AA1F789">
      <w:pPr>
        <w:pStyle w:val="3"/>
      </w:pPr>
    </w:p>
    <w:p w14:paraId="0B5C8FE3"/>
    <w:p w14:paraId="49AE8F78">
      <w:pPr>
        <w:pStyle w:val="7"/>
      </w:pPr>
    </w:p>
    <w:p w14:paraId="12BC5B5B">
      <w:pPr>
        <w:pStyle w:val="3"/>
      </w:pPr>
    </w:p>
    <w:p w14:paraId="4B64A6D4"/>
    <w:p w14:paraId="13B4D262">
      <w:pPr>
        <w:pStyle w:val="7"/>
      </w:pPr>
    </w:p>
    <w:p w14:paraId="1932E5B5">
      <w:pPr>
        <w:ind w:firstLine="640" w:firstLineChars="200"/>
        <w:jc w:val="left"/>
        <w:rPr>
          <w:rFonts w:hint="eastAsia" w:ascii="仿宋_GB2312" w:hAnsi="仿宋_GB2312" w:eastAsia="仿宋_GB2312" w:cs="仿宋_GB2312"/>
          <w:color w:val="000000"/>
          <w:kern w:val="0"/>
          <w:sz w:val="32"/>
          <w:szCs w:val="32"/>
        </w:rPr>
      </w:pPr>
    </w:p>
    <w:p w14:paraId="20EEFBEC">
      <w:pPr>
        <w:ind w:firstLine="640" w:firstLineChars="200"/>
        <w:jc w:val="left"/>
        <w:rPr>
          <w:rFonts w:hint="eastAsia" w:ascii="仿宋_GB2312" w:hAnsi="仿宋_GB2312" w:eastAsia="仿宋_GB2312" w:cs="仿宋_GB2312"/>
          <w:color w:val="000000"/>
          <w:kern w:val="0"/>
          <w:sz w:val="32"/>
          <w:szCs w:val="32"/>
        </w:rPr>
      </w:pPr>
    </w:p>
    <w:p w14:paraId="264D0B94">
      <w:pPr>
        <w:ind w:firstLine="640" w:firstLineChars="200"/>
        <w:jc w:val="left"/>
        <w:rPr>
          <w:rFonts w:hint="eastAsia" w:ascii="仿宋_GB2312" w:hAnsi="仿宋_GB2312" w:eastAsia="仿宋_GB2312" w:cs="仿宋_GB2312"/>
          <w:color w:val="000000"/>
          <w:kern w:val="0"/>
          <w:sz w:val="32"/>
          <w:szCs w:val="32"/>
        </w:rPr>
      </w:pPr>
    </w:p>
    <w:p w14:paraId="022EC845">
      <w:pPr>
        <w:pStyle w:val="7"/>
        <w:rPr>
          <w:rFonts w:hint="eastAsia"/>
        </w:rPr>
      </w:pPr>
    </w:p>
    <w:p w14:paraId="72FD4866">
      <w:pPr>
        <w:ind w:firstLine="640" w:firstLineChars="200"/>
        <w:jc w:val="left"/>
        <w:rPr>
          <w:rFonts w:hint="eastAsia" w:ascii="仿宋_GB2312" w:hAnsi="仿宋_GB2312" w:eastAsia="仿宋_GB2312" w:cs="仿宋_GB2312"/>
          <w:color w:val="000000"/>
          <w:kern w:val="0"/>
          <w:sz w:val="32"/>
          <w:szCs w:val="32"/>
        </w:rPr>
      </w:pPr>
    </w:p>
    <w:p w14:paraId="2F6C288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p>
    <w:p w14:paraId="5EBD769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p>
    <w:p w14:paraId="6376733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p>
    <w:p w14:paraId="434BE72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p>
    <w:p w14:paraId="7167388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一、财政拨款收入：指本级财政当年拨付的资金。</w:t>
      </w:r>
    </w:p>
    <w:p w14:paraId="73C896F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二、政府性基金预算财政拨款收入：指本级财政当年拨付的政府性基金预算资金。</w:t>
      </w:r>
    </w:p>
    <w:p w14:paraId="15B93B1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三、经营收入：指事业单位在专业业务活动及辅助活动之外开展非独立核算经营活动取得的收入。</w:t>
      </w:r>
    </w:p>
    <w:p w14:paraId="0C55364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四、其他收入：指除上述“财政拨款收入”“上级补助收入”“事业收入”“经营收入”“附属单位上缴收入”等以外的收入。</w:t>
      </w:r>
    </w:p>
    <w:p w14:paraId="21DC3F6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使用非财政拨款结余：指事业单位在当年的“财政拨款收入”“财政拨款结转和结余资金”“上级补助收入”“事业收入”“经营收入”“附属单位上缴收入”“其他收入”不足以安排当年支出情况下，使用以前年度积累的使用非财政拨款结余弥补收支差额的资金（事业单位当年收支相抵后按国家规定提取、用于弥补以后年度收支差额的非财政拨款结余）。</w:t>
      </w:r>
    </w:p>
    <w:p w14:paraId="63150F0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六、上年结转和结余：指以前年度尚未完成、结转到本年按有关规定继续使用的资金。</w:t>
      </w:r>
    </w:p>
    <w:p w14:paraId="51DB99F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七、年末结转和结余资金：指本年度或以前年度预算安排、因客观条件发生变化无法按原计划实施，需要延迟到以后年度按有关规定继续使用的资金。</w:t>
      </w:r>
    </w:p>
    <w:p w14:paraId="4F8CF5A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八、一般公共服务支出（类）：是指用于人大、政协、政府办公厅（室）及相关机构事务、发展与改革事务、统计信息事务、财政事务、税收事务、审计事务、人力资源事务、纪检监察事务、商贸事务、工商行政管理事务、质量技术监督与检验检疫事务、民族事务、档案事务、民主党派及工商联事务、群众团体事务、党委办公厅（室）及相关机构事务、组织事务、宣传事务、统战事务、其他一般公共服务等方面的支出，包括保障机构正常运转、完成日常和特定的工作任务或事业发展目标的支出。</w:t>
      </w:r>
    </w:p>
    <w:p w14:paraId="5ACC876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九、社会保障和就业支出（类）：是指用于社会保障和就业方面的支出，包括保障机构正常运转、完成日常和特定的工作任务或事业发展目标的支出。归口管理的行政单位离退休，指离退休人员管理机构统一管理的机关离退休人员的经费。</w:t>
      </w:r>
    </w:p>
    <w:p w14:paraId="001D099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十、卫生健康支出（类）：是指用于医疗卫生与计划生育方面的支出，包括保障机构正常运转、完成日常和特定的工作任务或事业发展目标的支出。</w:t>
      </w:r>
    </w:p>
    <w:p w14:paraId="7D3CB2E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十一、节能环保支出（类）：是指用于节能环保支出，包括保障机构正常运转、完成日常和特定的工作任务或事业发展目标的支出。</w:t>
      </w:r>
    </w:p>
    <w:p w14:paraId="7C919B2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十二、城乡社区支出（类）：是指用于城乡社区事务支出，包括保障机构正常运转、完成日常和特定的工作任务或事业发展目标的支出。</w:t>
      </w:r>
    </w:p>
    <w:p w14:paraId="3A836F7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十三、农林水支出（类）：是指用于农林水事务支出，包括保障机构正常运转、完成日常和特定的工作任务或事业发展目标的支出。</w:t>
      </w:r>
    </w:p>
    <w:p w14:paraId="062DE35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十四、其他支出（类）：是指用于反映除上述项目以外其他不能划分到具体功能科目中的支出项目，包括保障机构正常运转、完成日常和特定的工作任务或事业发展目标的支出。</w:t>
      </w:r>
    </w:p>
    <w:p w14:paraId="773C3B7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十五、抗疫特别国债安排的支出（类）：是指用于抗疫特别国债安排的支出项目，包括特定的工作任务或事业发展目标的支出。</w:t>
      </w:r>
    </w:p>
    <w:p w14:paraId="09050EE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十六、基本支出：指保障机构正常运转、完成支日常工作任务而发生的人员支出和公用支出。</w:t>
      </w:r>
    </w:p>
    <w:p w14:paraId="31C2E0D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十七、项目支出：指在基本支出之外为完成特定行政任务和事业发展目标所发生的支出。</w:t>
      </w:r>
    </w:p>
    <w:p w14:paraId="16ABEED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十八、上缴上级支出：指事业单位按照财政部门和主管部门的规定上缴上级单位的支出。（可结合部门实际支出情况举例说明）</w:t>
      </w:r>
    </w:p>
    <w:p w14:paraId="5C866EE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6787CA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二十、政府采购 ：是指国家各级政府为从事日常的政务活动或为了满足公共服务的目的，利用国家财政性资金和政府借款购买货物、工程和服务的行为。</w:t>
      </w:r>
    </w:p>
    <w:p w14:paraId="185A62A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二十一、工资福利支出：反映单位开支的在职职工和编制外长期聘用人员的各类劳动报酬，以及为上述人员缴纳的各项社会保险费等。</w:t>
      </w:r>
    </w:p>
    <w:p w14:paraId="40771B9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二、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军衔（级别）工资、基础工资和军龄工资；军队士官的军衔等级工资、基础工资和军龄工资等。</w:t>
      </w:r>
    </w:p>
    <w:p w14:paraId="33FB728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二十三、津贴补贴：反映经国家批准建立的机关事业单位艰苦边远地区津贴、机关工作人员地区附加津贴、机关工作人员岗位津贴、事业单位工作人员特殊岗位津贴补贴等。</w:t>
      </w:r>
    </w:p>
    <w:p w14:paraId="7F560C3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二十四、奖金：反映机关工作人员年终一次性奖金。</w:t>
      </w:r>
    </w:p>
    <w:p w14:paraId="62BC906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二十五、伙食补助费：反映单位发给职工的伙食补助费，如误餐补助等。</w:t>
      </w:r>
    </w:p>
    <w:p w14:paraId="2DF311E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二十六、绩效工资：反映事业单位工作人员的绩效工资。</w:t>
      </w:r>
    </w:p>
    <w:p w14:paraId="48FB03C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二十七、机关事业单位基本养老保险缴费：反映机关事业单位缴纳的基本养老保险费。由单位代扣的工作人员基本养老保险缴费，不在此科目反映。</w:t>
      </w:r>
    </w:p>
    <w:p w14:paraId="32F9C3A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二十八、职业年金缴费：反映机关事业单位实际缴纳的职业年金支出。由单位代扣的工作人员职业年金缴费，不在此科目反映。</w:t>
      </w:r>
    </w:p>
    <w:p w14:paraId="4BD09A9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二十九、职工基本医疗保险缴费：反映单位为职工缴纳的基本医疗保险费。</w:t>
      </w:r>
    </w:p>
    <w:p w14:paraId="07519A6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三十、其他社会保障缴费：反映单位为职工缴纳的基本医疗、失业、工伤、生育等社会保险费，残疾人就业保障金，军队（含武警）为军人缴纳的伤亡、退役医疗等社会保险费。</w:t>
      </w:r>
    </w:p>
    <w:p w14:paraId="55D5F53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三十一、住房公积金：反映行政事业单位按人力资源和社会保障部、财政部规定的基本工资和津贴补贴以及规定比例为职工缴纳的住房公积金。</w:t>
      </w:r>
    </w:p>
    <w:p w14:paraId="5BBA078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三十二、医疗费：反映未参加医疗保险单位的医疗经费和单位按规定为职工支出的其他医疗费用。</w:t>
      </w:r>
    </w:p>
    <w:p w14:paraId="7B86E34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三、其他工资福利支出：反映上述项目未包括的人员支出，如各种加班工资、病假两个月以上期间的人员工资、编制外长期聘用人员，公务员及参照和依照公务员制度管理的单位工作人员转入企业工作并按规定参加企业职工基本养老保险后给予的一次性补贴等。</w:t>
      </w:r>
    </w:p>
    <w:p w14:paraId="31B7B33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三十四、商品和服务支出：反映单位购买商品和服务的支出（不包括用于购置固定资产的支出、战略性和应急储备支出）。</w:t>
      </w:r>
    </w:p>
    <w:p w14:paraId="1429A6F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三十五、办公费：反映单位购买按财务会计制度规定不符合固定资产确认标准的日常办公用品、书报杂志等支出。</w:t>
      </w:r>
    </w:p>
    <w:p w14:paraId="1A225EF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三十六、印刷费：反映单位的印刷费支出。</w:t>
      </w:r>
    </w:p>
    <w:p w14:paraId="5F99AA1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三十七、咨询费：反映单位咨询方面的支出。</w:t>
      </w:r>
    </w:p>
    <w:p w14:paraId="12FC7CE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三十八、水费：反映单位支付的水费、污水处理费等支出。</w:t>
      </w:r>
    </w:p>
    <w:p w14:paraId="1863EEB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三十九、电费：反映单位的电费支出。</w:t>
      </w:r>
    </w:p>
    <w:p w14:paraId="5EB4886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四十、邮电费：反映单位开支的信函、包裹、货物等物品的邮寄费及电话费、电报费、传真费、网络通讯费等。</w:t>
      </w:r>
    </w:p>
    <w:p w14:paraId="50C59E2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四十一、物业管理费：反映单位开支的办公用房以及未实行职工住宅物业服务改革的在职职工和离退休人员宿舍等的物业管理费，包括综合治理、绿化、卫生等方面的支出。</w:t>
      </w:r>
    </w:p>
    <w:p w14:paraId="44FA035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四十二、差旅费：反映单位工作人员出差发生的城市间交通费、住宿费、伙食补贴费和市内交通费。</w:t>
      </w:r>
    </w:p>
    <w:p w14:paraId="499CFA1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四十三、维修(护)费：反映单位日常开支的固定资产（不包括车船等交通工具）修理和维护费用，网络信息系统运行与维护费用，以及按规定提取的修购基金。</w:t>
      </w:r>
    </w:p>
    <w:p w14:paraId="4B12821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四十四、培训费：反映除因公出国（境）培训费以外的各类培训支出。</w:t>
      </w:r>
    </w:p>
    <w:p w14:paraId="6D73F27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四十五、公务接待费：反映单位按规定开支的各类公务接待（含外宾接待）费用。</w:t>
      </w:r>
    </w:p>
    <w:p w14:paraId="0E3A830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六、专用材料费：反映单位购买日常专用材料的支出。具体包括药品及医疗耗材，农用材料，兽医用品，实验室用品，专用服装，消耗性体育用品，专用工具和仪器，艺术部门专用材料和用品，广播电视台发射台发射机的电力、材料等方面的支出。</w:t>
      </w:r>
    </w:p>
    <w:p w14:paraId="0BB52BC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四十七、专用燃料费：反映用作业务工作设备的车、船设施等的油料支出。</w:t>
      </w:r>
    </w:p>
    <w:p w14:paraId="4EF06C3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四十八、劳务费：反映支付给单位和个人的劳务费用，如临时聘用人员、钟点工工资，稿费、翻译费，评审费等。</w:t>
      </w:r>
    </w:p>
    <w:p w14:paraId="12D277D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四十九、委托业务费：反映因委托外单位办理业务而支付的委托业务费。</w:t>
      </w:r>
    </w:p>
    <w:p w14:paraId="0EB6FAA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五十、工会经费：反映单位按规定提取的工会经费。</w:t>
      </w:r>
    </w:p>
    <w:p w14:paraId="6849909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五十一、福利费：反映单位按规定提取的福利费。</w:t>
      </w:r>
    </w:p>
    <w:p w14:paraId="4DC1345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五十二、公务用车运行维护费：反映单位按规定保留的公务用车燃料费、维修费、过桥过路费、保险费、安全奖励费用等支出。</w:t>
      </w:r>
    </w:p>
    <w:p w14:paraId="2FC41B5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五十三、其他交通费用：反映单位除公务用车运行维护费以外的其他交通费用。如公务交通补贴，租车费用、出租车费用，飞机、船舶等的燃料费、维修费、保险费等。</w:t>
      </w:r>
    </w:p>
    <w:p w14:paraId="69E323C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五十四、税金及附加费用：反映单位提供劳务或销售产品应负担的税金及附加费用，包括营业税、消费税、城市维护建设税、资源税和教育附加等。</w:t>
      </w:r>
    </w:p>
    <w:p w14:paraId="276FD23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五十五、其他商品和服务支出：反映上述科目未包括的日常公用支出。如行政赔偿费和诉讼费、国内组织的会员费、来访费、广告宣传、其他劳务费及离休人员特需费、公用经费等。</w:t>
      </w:r>
    </w:p>
    <w:p w14:paraId="2450BE8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五十六、对个人和家庭的补助：反映政府用于对个人和家庭的补助支出。</w:t>
      </w:r>
    </w:p>
    <w:p w14:paraId="4DE7A55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五十七、离休费：反映行政事业单位和军队移交政府安置的离休人员的离休费、护理费和其他补贴。</w:t>
      </w:r>
    </w:p>
    <w:p w14:paraId="3598BC9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五十八、退休费：反映行政事业单位和军队移交政府安置的退休人员的退休费和其他补贴。</w:t>
      </w:r>
    </w:p>
    <w:p w14:paraId="2988788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五十九、抚恤金：反映按规定开支的烈士遗属、牺牲病故人员遗属的一次性和定期抚恤金，伤残人员的抚恤金，离退休人员等其他人员的各项抚恤金。</w:t>
      </w:r>
    </w:p>
    <w:p w14:paraId="119EF58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十、生活补助：反映按规定开支的优抚对象定期定量生活补助费，退役军人生活补助费，行政事业单位职工和遗属生活补助，因公负伤等住院治疗、住疗养院期间的伙食补助费，长期赡养人员补助费，由于国家实行退耕还林禁牧舍饲政策补偿给农牧民的现金、粮食支出，对农村党员、复员军人以及村干部的补助支出，看守人员和犯人的伙食费、药费等。</w:t>
      </w:r>
    </w:p>
    <w:p w14:paraId="53E9387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十一、医疗费：反映行政事业单位在职职工、离退休人员的医疗费，军队移交政府安置的离退休人员的医疗费，学生医疗费，优抚对象医疗补助，以及按国家规定资助农民参加新型农村合作医疗和城镇居民参加城镇居民基本医疗保险的支出和对城乡贫困家庭的医疗救助支出。</w:t>
      </w:r>
    </w:p>
    <w:p w14:paraId="0480F52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六十二、奖励金：反映政府各部门的奖励支出，如对个体私营经济的奖励、计划生育目标责任奖励、独生子女父母奖励等。</w:t>
      </w:r>
    </w:p>
    <w:p w14:paraId="3EA7ED3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六十三、其他对个人和家庭的补助支出：反映未包括在上述科目的对个人和家庭的补助支出，</w:t>
      </w:r>
    </w:p>
    <w:p w14:paraId="6BEFFC5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六十四、办公设备购置：反映用于购置并按财务会计制度规定纳入固定资产核算范围的办公家具和办公设备的支出，以及按规定提取的修购基金。</w:t>
      </w:r>
    </w:p>
    <w:p w14:paraId="73CB78C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十五、专用设备购置：反映用于购置具有专门用途、并按财务会计制度规定纳入固定资产核算范围的各类专用设备的支出。如通信设备、发电设备、交通监控设备、卫星转发器、气象设备、进出口监管设备等，以及按规定提取的修购基金。</w:t>
      </w:r>
    </w:p>
    <w:p w14:paraId="6D81CB9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六十六、其他交通工具购置：反映单位除公务用车外的其他各类交通工具(如船舶、飞机等)购置支出（含车辆购置税）。</w:t>
      </w:r>
    </w:p>
    <w:p w14:paraId="22CA3E1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六十七、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 办公用房物业管理费、 公务用车运行维护费以及其他费用。</w:t>
      </w:r>
    </w:p>
    <w:p w14:paraId="51FD4820">
      <w:pPr>
        <w:pStyle w:val="3"/>
      </w:pPr>
    </w:p>
    <w:p w14:paraId="08CA510A"/>
    <w:p w14:paraId="1BF810E4">
      <w:pPr>
        <w:pStyle w:val="7"/>
      </w:pPr>
    </w:p>
    <w:p w14:paraId="7EFAF7C1">
      <w:pPr>
        <w:pStyle w:val="3"/>
      </w:pPr>
    </w:p>
    <w:p w14:paraId="1349FBF2"/>
    <w:p w14:paraId="50F865DB">
      <w:pPr>
        <w:pStyle w:val="7"/>
      </w:pPr>
    </w:p>
    <w:p w14:paraId="72CE52CE">
      <w:pPr>
        <w:pStyle w:val="3"/>
      </w:pPr>
    </w:p>
    <w:p w14:paraId="6304BD3C"/>
    <w:p w14:paraId="497A1476">
      <w:pPr>
        <w:pStyle w:val="7"/>
      </w:pPr>
    </w:p>
    <w:p w14:paraId="35E371F3">
      <w:pPr>
        <w:pStyle w:val="3"/>
      </w:pPr>
    </w:p>
    <w:p w14:paraId="76984746"/>
    <w:p w14:paraId="0B0AEBA5">
      <w:pPr>
        <w:pStyle w:val="7"/>
      </w:pPr>
    </w:p>
    <w:p w14:paraId="307795F2">
      <w:pPr>
        <w:pStyle w:val="3"/>
      </w:pPr>
    </w:p>
    <w:p w14:paraId="54549E2D"/>
    <w:p w14:paraId="34624487">
      <w:pPr>
        <w:pStyle w:val="7"/>
      </w:pPr>
    </w:p>
    <w:p w14:paraId="1FAC2E25">
      <w:pPr>
        <w:pStyle w:val="3"/>
      </w:pPr>
    </w:p>
    <w:p w14:paraId="1449BECD"/>
    <w:p w14:paraId="6EA1BC66">
      <w:pPr>
        <w:pStyle w:val="7"/>
      </w:pPr>
    </w:p>
    <w:p w14:paraId="3563A32D">
      <w:pPr>
        <w:pStyle w:val="3"/>
      </w:pPr>
    </w:p>
    <w:p w14:paraId="245C38FE">
      <w:pPr>
        <w:pStyle w:val="12"/>
        <w:jc w:val="both"/>
        <w:rPr>
          <w:rFonts w:hint="eastAsia" w:ascii="方正小标宋_GBK" w:hAnsi="方正小标宋_GBK" w:eastAsia="方正小标宋_GBK" w:cs="方正小标宋_GBK"/>
          <w:sz w:val="72"/>
          <w:szCs w:val="72"/>
        </w:rPr>
      </w:pPr>
    </w:p>
    <w:p w14:paraId="34047C85">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612E5DD3">
      <w:pPr>
        <w:pStyle w:val="12"/>
        <w:jc w:val="both"/>
        <w:rPr>
          <w:rFonts w:hint="eastAsia" w:ascii="方正小标宋_GBK" w:hAnsi="方正小标宋_GBK" w:eastAsia="方正小标宋_GBK" w:cs="方正小标宋_GBK"/>
          <w:sz w:val="70"/>
          <w:szCs w:val="70"/>
          <w:lang w:eastAsia="zh-CN"/>
        </w:rPr>
      </w:pPr>
    </w:p>
    <w:p w14:paraId="5A81EE57">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3C1F5769">
      <w:pPr>
        <w:ind w:firstLine="640" w:firstLineChars="200"/>
        <w:jc w:val="left"/>
        <w:rPr>
          <w:rFonts w:hint="eastAsia" w:ascii="宋体" w:hAnsi="宋体" w:eastAsia="宋体" w:cs="黑体"/>
          <w:b/>
          <w:color w:val="000000"/>
          <w:kern w:val="0"/>
          <w:sz w:val="32"/>
          <w:szCs w:val="32"/>
          <w:lang w:val="en-US" w:eastAsia="zh-CN"/>
        </w:rPr>
      </w:pPr>
    </w:p>
    <w:p w14:paraId="5160D787">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1FBB2B18">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53791CEC"/>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KSOF557087D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0C6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69A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1479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AD558A"/>
    <w:rsid w:val="00B33BEA"/>
    <w:rsid w:val="00B57C9F"/>
    <w:rsid w:val="00B63572"/>
    <w:rsid w:val="00B845B3"/>
    <w:rsid w:val="00B85D8B"/>
    <w:rsid w:val="00BA3803"/>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325A8F"/>
    <w:rsid w:val="015E0632"/>
    <w:rsid w:val="01BB3CD7"/>
    <w:rsid w:val="01D54D98"/>
    <w:rsid w:val="01D6608B"/>
    <w:rsid w:val="0227311A"/>
    <w:rsid w:val="022A49B8"/>
    <w:rsid w:val="023615AF"/>
    <w:rsid w:val="02BA6B32"/>
    <w:rsid w:val="032D331F"/>
    <w:rsid w:val="033A0DD4"/>
    <w:rsid w:val="03C61B74"/>
    <w:rsid w:val="03CF3A69"/>
    <w:rsid w:val="04067E8A"/>
    <w:rsid w:val="04293179"/>
    <w:rsid w:val="0438160E"/>
    <w:rsid w:val="043A366E"/>
    <w:rsid w:val="04820ADC"/>
    <w:rsid w:val="04897D5E"/>
    <w:rsid w:val="04A40A52"/>
    <w:rsid w:val="05085485"/>
    <w:rsid w:val="052664FE"/>
    <w:rsid w:val="055E50A5"/>
    <w:rsid w:val="056D353A"/>
    <w:rsid w:val="059958AD"/>
    <w:rsid w:val="06020126"/>
    <w:rsid w:val="0603025B"/>
    <w:rsid w:val="063E0A32"/>
    <w:rsid w:val="06467E88"/>
    <w:rsid w:val="067A4160"/>
    <w:rsid w:val="06C857E7"/>
    <w:rsid w:val="073A569E"/>
    <w:rsid w:val="075F5104"/>
    <w:rsid w:val="07716B0D"/>
    <w:rsid w:val="0790350F"/>
    <w:rsid w:val="07C84A57"/>
    <w:rsid w:val="07EA70C4"/>
    <w:rsid w:val="08297BEC"/>
    <w:rsid w:val="08776D71"/>
    <w:rsid w:val="089D78E3"/>
    <w:rsid w:val="08C24A73"/>
    <w:rsid w:val="09F77876"/>
    <w:rsid w:val="0A51342A"/>
    <w:rsid w:val="0A56459C"/>
    <w:rsid w:val="0A682522"/>
    <w:rsid w:val="0A775D4F"/>
    <w:rsid w:val="0AB3379D"/>
    <w:rsid w:val="0AD33E3F"/>
    <w:rsid w:val="0AE278DF"/>
    <w:rsid w:val="0AFD2C6A"/>
    <w:rsid w:val="0B6B22C9"/>
    <w:rsid w:val="0BCD6AE0"/>
    <w:rsid w:val="0BDC4F75"/>
    <w:rsid w:val="0C097EDB"/>
    <w:rsid w:val="0C2B3807"/>
    <w:rsid w:val="0CB8153E"/>
    <w:rsid w:val="0D064E5E"/>
    <w:rsid w:val="0D0B2EFC"/>
    <w:rsid w:val="0D48607B"/>
    <w:rsid w:val="0D6B4803"/>
    <w:rsid w:val="0DF26CD2"/>
    <w:rsid w:val="0E344BF5"/>
    <w:rsid w:val="0EC869E9"/>
    <w:rsid w:val="0EEA5BFB"/>
    <w:rsid w:val="0FA61B22"/>
    <w:rsid w:val="0FDE082B"/>
    <w:rsid w:val="1028716B"/>
    <w:rsid w:val="10305890"/>
    <w:rsid w:val="10662D41"/>
    <w:rsid w:val="109602E0"/>
    <w:rsid w:val="10B95885"/>
    <w:rsid w:val="10D31FAC"/>
    <w:rsid w:val="10E30B54"/>
    <w:rsid w:val="11494E5B"/>
    <w:rsid w:val="11944E2C"/>
    <w:rsid w:val="11E22BBA"/>
    <w:rsid w:val="123C051C"/>
    <w:rsid w:val="12583BA5"/>
    <w:rsid w:val="12681311"/>
    <w:rsid w:val="12934643"/>
    <w:rsid w:val="12A32349"/>
    <w:rsid w:val="12A97FAE"/>
    <w:rsid w:val="131E5E73"/>
    <w:rsid w:val="13280AA0"/>
    <w:rsid w:val="13BA5B9C"/>
    <w:rsid w:val="13F82B68"/>
    <w:rsid w:val="146A5814"/>
    <w:rsid w:val="14DE58BA"/>
    <w:rsid w:val="15205ED3"/>
    <w:rsid w:val="15B30AF5"/>
    <w:rsid w:val="16B72867"/>
    <w:rsid w:val="16E3540A"/>
    <w:rsid w:val="17017F86"/>
    <w:rsid w:val="17E01949"/>
    <w:rsid w:val="18607150"/>
    <w:rsid w:val="18A961DF"/>
    <w:rsid w:val="18C94AD3"/>
    <w:rsid w:val="19176C68"/>
    <w:rsid w:val="19287A4C"/>
    <w:rsid w:val="19397563"/>
    <w:rsid w:val="19502AFF"/>
    <w:rsid w:val="19CC6629"/>
    <w:rsid w:val="1A0C111B"/>
    <w:rsid w:val="1A604FC3"/>
    <w:rsid w:val="1A750A6F"/>
    <w:rsid w:val="1A98475D"/>
    <w:rsid w:val="1B132036"/>
    <w:rsid w:val="1B171B26"/>
    <w:rsid w:val="1B2F35AF"/>
    <w:rsid w:val="1B974A15"/>
    <w:rsid w:val="1BF246FD"/>
    <w:rsid w:val="1C9D42AD"/>
    <w:rsid w:val="1D047E88"/>
    <w:rsid w:val="1D306ECF"/>
    <w:rsid w:val="1D3E15EC"/>
    <w:rsid w:val="1D97DEFF"/>
    <w:rsid w:val="1DF83E91"/>
    <w:rsid w:val="1DFF72E5"/>
    <w:rsid w:val="1E062FE4"/>
    <w:rsid w:val="1E0D7210"/>
    <w:rsid w:val="1E4F2ABC"/>
    <w:rsid w:val="1E6C03DB"/>
    <w:rsid w:val="1E780B2E"/>
    <w:rsid w:val="1E9B2A6E"/>
    <w:rsid w:val="1EA77665"/>
    <w:rsid w:val="1EB63EED"/>
    <w:rsid w:val="1EFC6F07"/>
    <w:rsid w:val="1F0527A6"/>
    <w:rsid w:val="1F240CB5"/>
    <w:rsid w:val="1F680BA2"/>
    <w:rsid w:val="1FB23C6B"/>
    <w:rsid w:val="1FCB7383"/>
    <w:rsid w:val="20062169"/>
    <w:rsid w:val="203F5AD6"/>
    <w:rsid w:val="20607ACB"/>
    <w:rsid w:val="206F7D0E"/>
    <w:rsid w:val="20C31E08"/>
    <w:rsid w:val="20E56222"/>
    <w:rsid w:val="20FD356C"/>
    <w:rsid w:val="21205439"/>
    <w:rsid w:val="213F3B84"/>
    <w:rsid w:val="228D0920"/>
    <w:rsid w:val="22AC03C2"/>
    <w:rsid w:val="23C16AD3"/>
    <w:rsid w:val="241E5CD3"/>
    <w:rsid w:val="2479115B"/>
    <w:rsid w:val="25276E09"/>
    <w:rsid w:val="256C0CC0"/>
    <w:rsid w:val="26913EC4"/>
    <w:rsid w:val="26C31EF5"/>
    <w:rsid w:val="27711D45"/>
    <w:rsid w:val="27E9484A"/>
    <w:rsid w:val="27EB1976"/>
    <w:rsid w:val="283B15FE"/>
    <w:rsid w:val="283F3982"/>
    <w:rsid w:val="28642123"/>
    <w:rsid w:val="28AF15F0"/>
    <w:rsid w:val="28B74948"/>
    <w:rsid w:val="28B766F6"/>
    <w:rsid w:val="28FE60D3"/>
    <w:rsid w:val="291E67ED"/>
    <w:rsid w:val="29E36E4F"/>
    <w:rsid w:val="2A1D4C7F"/>
    <w:rsid w:val="2AA169FC"/>
    <w:rsid w:val="2AD417E1"/>
    <w:rsid w:val="2B1B0690"/>
    <w:rsid w:val="2B2160A9"/>
    <w:rsid w:val="2BAE3DE1"/>
    <w:rsid w:val="2BEA0B91"/>
    <w:rsid w:val="2C184156"/>
    <w:rsid w:val="2C842D93"/>
    <w:rsid w:val="2C892158"/>
    <w:rsid w:val="2CBC077F"/>
    <w:rsid w:val="2D346567"/>
    <w:rsid w:val="2D614E83"/>
    <w:rsid w:val="2DCA0C7A"/>
    <w:rsid w:val="2ED26038"/>
    <w:rsid w:val="2EEB5B35"/>
    <w:rsid w:val="2F097064"/>
    <w:rsid w:val="2F7169DA"/>
    <w:rsid w:val="2F794705"/>
    <w:rsid w:val="2FDF85B8"/>
    <w:rsid w:val="2FFFEE04"/>
    <w:rsid w:val="30B40E7D"/>
    <w:rsid w:val="31C95635"/>
    <w:rsid w:val="3273368E"/>
    <w:rsid w:val="327877A7"/>
    <w:rsid w:val="32B141B6"/>
    <w:rsid w:val="32C26397"/>
    <w:rsid w:val="32F81DE5"/>
    <w:rsid w:val="334119DE"/>
    <w:rsid w:val="33BA52ED"/>
    <w:rsid w:val="346E05B1"/>
    <w:rsid w:val="34756E21"/>
    <w:rsid w:val="34767465"/>
    <w:rsid w:val="349D0E96"/>
    <w:rsid w:val="34DF85B0"/>
    <w:rsid w:val="35584DBD"/>
    <w:rsid w:val="35A818A1"/>
    <w:rsid w:val="35F26FC0"/>
    <w:rsid w:val="36D641EB"/>
    <w:rsid w:val="371A67CE"/>
    <w:rsid w:val="37536DDA"/>
    <w:rsid w:val="377D6D5D"/>
    <w:rsid w:val="37A20571"/>
    <w:rsid w:val="37C130EE"/>
    <w:rsid w:val="38AD5420"/>
    <w:rsid w:val="38E15968"/>
    <w:rsid w:val="39366B98"/>
    <w:rsid w:val="396D0A20"/>
    <w:rsid w:val="39783EF9"/>
    <w:rsid w:val="3986639D"/>
    <w:rsid w:val="39900FC9"/>
    <w:rsid w:val="39D23390"/>
    <w:rsid w:val="3A0D43C8"/>
    <w:rsid w:val="3A377697"/>
    <w:rsid w:val="3A712BA9"/>
    <w:rsid w:val="3A8B3BCC"/>
    <w:rsid w:val="3AFE4D0B"/>
    <w:rsid w:val="3B8F36BC"/>
    <w:rsid w:val="3BD00368"/>
    <w:rsid w:val="3BD553B9"/>
    <w:rsid w:val="3BE23632"/>
    <w:rsid w:val="3BF07AFD"/>
    <w:rsid w:val="3C2F4ACA"/>
    <w:rsid w:val="3C447349"/>
    <w:rsid w:val="3C836BC3"/>
    <w:rsid w:val="3CD016DD"/>
    <w:rsid w:val="3CD13DD3"/>
    <w:rsid w:val="3CEB6517"/>
    <w:rsid w:val="3CFE449C"/>
    <w:rsid w:val="3D605157"/>
    <w:rsid w:val="3D6A38DF"/>
    <w:rsid w:val="3DCD521F"/>
    <w:rsid w:val="3DFA2EB5"/>
    <w:rsid w:val="3E564C85"/>
    <w:rsid w:val="3E7E5894"/>
    <w:rsid w:val="3EB219E2"/>
    <w:rsid w:val="3EBE2135"/>
    <w:rsid w:val="3EDB4A95"/>
    <w:rsid w:val="3F7E4374"/>
    <w:rsid w:val="3F823162"/>
    <w:rsid w:val="3FD57736"/>
    <w:rsid w:val="40225D0A"/>
    <w:rsid w:val="4058639A"/>
    <w:rsid w:val="408E745B"/>
    <w:rsid w:val="41263FC1"/>
    <w:rsid w:val="414A4154"/>
    <w:rsid w:val="41FB71FC"/>
    <w:rsid w:val="42332E3A"/>
    <w:rsid w:val="424566C9"/>
    <w:rsid w:val="425D3A13"/>
    <w:rsid w:val="42770F78"/>
    <w:rsid w:val="42E45EE2"/>
    <w:rsid w:val="43C03B16"/>
    <w:rsid w:val="43CD6976"/>
    <w:rsid w:val="43EB5BA5"/>
    <w:rsid w:val="44114AB5"/>
    <w:rsid w:val="447B4624"/>
    <w:rsid w:val="44891243"/>
    <w:rsid w:val="453273D9"/>
    <w:rsid w:val="453749EF"/>
    <w:rsid w:val="46146ADE"/>
    <w:rsid w:val="46905A5F"/>
    <w:rsid w:val="47022DDB"/>
    <w:rsid w:val="473236C0"/>
    <w:rsid w:val="47471B82"/>
    <w:rsid w:val="477261B2"/>
    <w:rsid w:val="48164D90"/>
    <w:rsid w:val="4856518C"/>
    <w:rsid w:val="48831CF9"/>
    <w:rsid w:val="48CC18F2"/>
    <w:rsid w:val="48F055E1"/>
    <w:rsid w:val="491312CF"/>
    <w:rsid w:val="491FF225"/>
    <w:rsid w:val="49437E06"/>
    <w:rsid w:val="49580328"/>
    <w:rsid w:val="499E328F"/>
    <w:rsid w:val="49A8482B"/>
    <w:rsid w:val="49D97E23"/>
    <w:rsid w:val="49FA008C"/>
    <w:rsid w:val="4A38373C"/>
    <w:rsid w:val="4A3B0ADD"/>
    <w:rsid w:val="4A873D23"/>
    <w:rsid w:val="4A9D2EC6"/>
    <w:rsid w:val="4AE41175"/>
    <w:rsid w:val="4B7D6ED4"/>
    <w:rsid w:val="4BB02E05"/>
    <w:rsid w:val="4BBA0D7E"/>
    <w:rsid w:val="4BFA22D2"/>
    <w:rsid w:val="4C2772E2"/>
    <w:rsid w:val="4D510618"/>
    <w:rsid w:val="4D5E5757"/>
    <w:rsid w:val="4DAF2C1D"/>
    <w:rsid w:val="4E091F94"/>
    <w:rsid w:val="4E92242C"/>
    <w:rsid w:val="4EC310A1"/>
    <w:rsid w:val="4EC56BC8"/>
    <w:rsid w:val="4F1162B1"/>
    <w:rsid w:val="4FFD214C"/>
    <w:rsid w:val="502838B2"/>
    <w:rsid w:val="50ED2406"/>
    <w:rsid w:val="513149E8"/>
    <w:rsid w:val="51D45B0B"/>
    <w:rsid w:val="528622AA"/>
    <w:rsid w:val="52EA12F3"/>
    <w:rsid w:val="5325232B"/>
    <w:rsid w:val="53446C55"/>
    <w:rsid w:val="5352765A"/>
    <w:rsid w:val="535350EA"/>
    <w:rsid w:val="53DF24DA"/>
    <w:rsid w:val="53FD6E04"/>
    <w:rsid w:val="545A4256"/>
    <w:rsid w:val="552C5028"/>
    <w:rsid w:val="55342CF9"/>
    <w:rsid w:val="55C80495"/>
    <w:rsid w:val="564C5E20"/>
    <w:rsid w:val="56AB2A55"/>
    <w:rsid w:val="56F75D8C"/>
    <w:rsid w:val="5777D4F5"/>
    <w:rsid w:val="577E200A"/>
    <w:rsid w:val="57996E43"/>
    <w:rsid w:val="57EBA9D6"/>
    <w:rsid w:val="57F22B6F"/>
    <w:rsid w:val="58566C38"/>
    <w:rsid w:val="58B8154B"/>
    <w:rsid w:val="58D5317F"/>
    <w:rsid w:val="58F72073"/>
    <w:rsid w:val="59162E41"/>
    <w:rsid w:val="59374B66"/>
    <w:rsid w:val="59A85B9F"/>
    <w:rsid w:val="59DD8326"/>
    <w:rsid w:val="5AEE56F8"/>
    <w:rsid w:val="5B3951AC"/>
    <w:rsid w:val="5B7A5DB0"/>
    <w:rsid w:val="5B8027F4"/>
    <w:rsid w:val="5BD60666"/>
    <w:rsid w:val="5BD963A8"/>
    <w:rsid w:val="5C001B87"/>
    <w:rsid w:val="5C2D3FFE"/>
    <w:rsid w:val="5C4F1771"/>
    <w:rsid w:val="5C5168BD"/>
    <w:rsid w:val="5C6C4B26"/>
    <w:rsid w:val="5CB475D4"/>
    <w:rsid w:val="5D331AE8"/>
    <w:rsid w:val="5D5F6439"/>
    <w:rsid w:val="5DEF592A"/>
    <w:rsid w:val="5E23390B"/>
    <w:rsid w:val="5E8A56FD"/>
    <w:rsid w:val="5EBD78BB"/>
    <w:rsid w:val="5EF808F3"/>
    <w:rsid w:val="5F117C07"/>
    <w:rsid w:val="5F1C0A86"/>
    <w:rsid w:val="5FC609F2"/>
    <w:rsid w:val="5FC6BB1E"/>
    <w:rsid w:val="5FF720F1"/>
    <w:rsid w:val="600F2399"/>
    <w:rsid w:val="605F38FD"/>
    <w:rsid w:val="606C1A01"/>
    <w:rsid w:val="61091CC0"/>
    <w:rsid w:val="612C0D28"/>
    <w:rsid w:val="613D1187"/>
    <w:rsid w:val="615D7134"/>
    <w:rsid w:val="622964C1"/>
    <w:rsid w:val="62DB47B4"/>
    <w:rsid w:val="63091321"/>
    <w:rsid w:val="636E73D6"/>
    <w:rsid w:val="637013A0"/>
    <w:rsid w:val="64861D9D"/>
    <w:rsid w:val="64B452BD"/>
    <w:rsid w:val="650E70C3"/>
    <w:rsid w:val="6531690D"/>
    <w:rsid w:val="65482043"/>
    <w:rsid w:val="6645502F"/>
    <w:rsid w:val="6692162D"/>
    <w:rsid w:val="669E5263"/>
    <w:rsid w:val="66FB5425"/>
    <w:rsid w:val="67423054"/>
    <w:rsid w:val="679A4C3E"/>
    <w:rsid w:val="67FF5C0B"/>
    <w:rsid w:val="68572B2F"/>
    <w:rsid w:val="686314D3"/>
    <w:rsid w:val="68684D3C"/>
    <w:rsid w:val="68E87C2B"/>
    <w:rsid w:val="69135570"/>
    <w:rsid w:val="69D56401"/>
    <w:rsid w:val="69EA4DEB"/>
    <w:rsid w:val="6AAD6A36"/>
    <w:rsid w:val="6B6E211A"/>
    <w:rsid w:val="6B715CB5"/>
    <w:rsid w:val="6B900B29"/>
    <w:rsid w:val="6BAA4A2F"/>
    <w:rsid w:val="6D9143ED"/>
    <w:rsid w:val="6DB93944"/>
    <w:rsid w:val="6DDD5884"/>
    <w:rsid w:val="6DDEC5C0"/>
    <w:rsid w:val="6EB8009F"/>
    <w:rsid w:val="6EB83BFB"/>
    <w:rsid w:val="6EBC193D"/>
    <w:rsid w:val="6EE113A4"/>
    <w:rsid w:val="6EFC0924"/>
    <w:rsid w:val="6F1D5D5E"/>
    <w:rsid w:val="6F72024E"/>
    <w:rsid w:val="6F7264A0"/>
    <w:rsid w:val="6F9E8580"/>
    <w:rsid w:val="6FB74722"/>
    <w:rsid w:val="6FC2562E"/>
    <w:rsid w:val="6FCD36D6"/>
    <w:rsid w:val="6FEF8B7E"/>
    <w:rsid w:val="6FF0075C"/>
    <w:rsid w:val="700C2451"/>
    <w:rsid w:val="70746212"/>
    <w:rsid w:val="707862E6"/>
    <w:rsid w:val="717FE77F"/>
    <w:rsid w:val="71A6591B"/>
    <w:rsid w:val="71B96608"/>
    <w:rsid w:val="71C32454"/>
    <w:rsid w:val="72C6616E"/>
    <w:rsid w:val="731735E6"/>
    <w:rsid w:val="731C0BFD"/>
    <w:rsid w:val="734652DE"/>
    <w:rsid w:val="7366528C"/>
    <w:rsid w:val="73683E42"/>
    <w:rsid w:val="73702CF6"/>
    <w:rsid w:val="737722D7"/>
    <w:rsid w:val="737D59BA"/>
    <w:rsid w:val="737F32B1"/>
    <w:rsid w:val="738B7B30"/>
    <w:rsid w:val="73B928EF"/>
    <w:rsid w:val="73BD3FCA"/>
    <w:rsid w:val="73C44DF0"/>
    <w:rsid w:val="74281823"/>
    <w:rsid w:val="745D14CD"/>
    <w:rsid w:val="74E50CF4"/>
    <w:rsid w:val="75220BE8"/>
    <w:rsid w:val="75622B13"/>
    <w:rsid w:val="75D03F20"/>
    <w:rsid w:val="75D41E35"/>
    <w:rsid w:val="76171CE3"/>
    <w:rsid w:val="76D417EE"/>
    <w:rsid w:val="76D90BB3"/>
    <w:rsid w:val="770A5210"/>
    <w:rsid w:val="776B5CAF"/>
    <w:rsid w:val="776BDA01"/>
    <w:rsid w:val="7778661E"/>
    <w:rsid w:val="77C37683"/>
    <w:rsid w:val="786C7F30"/>
    <w:rsid w:val="78872FBC"/>
    <w:rsid w:val="78886D34"/>
    <w:rsid w:val="79297BCF"/>
    <w:rsid w:val="796B5EF3"/>
    <w:rsid w:val="79A67472"/>
    <w:rsid w:val="79B4611B"/>
    <w:rsid w:val="79B778D1"/>
    <w:rsid w:val="79D52942"/>
    <w:rsid w:val="79E24222"/>
    <w:rsid w:val="79FF515B"/>
    <w:rsid w:val="7A7272A2"/>
    <w:rsid w:val="7A8F7F06"/>
    <w:rsid w:val="7ABE6A3D"/>
    <w:rsid w:val="7ADB75EF"/>
    <w:rsid w:val="7B0546E5"/>
    <w:rsid w:val="7B615D46"/>
    <w:rsid w:val="7BCE4A5E"/>
    <w:rsid w:val="7BD36518"/>
    <w:rsid w:val="7C74544E"/>
    <w:rsid w:val="7C7E6484"/>
    <w:rsid w:val="7C7F2361"/>
    <w:rsid w:val="7C8C4EC5"/>
    <w:rsid w:val="7D983576"/>
    <w:rsid w:val="7DD6409E"/>
    <w:rsid w:val="7DDD367E"/>
    <w:rsid w:val="7DFBFF20"/>
    <w:rsid w:val="7DFC50DA"/>
    <w:rsid w:val="7E5C0B3D"/>
    <w:rsid w:val="7E633B84"/>
    <w:rsid w:val="7E9E1962"/>
    <w:rsid w:val="7E9E2E0E"/>
    <w:rsid w:val="7E9F0934"/>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39</Pages>
  <Words>7791</Words>
  <Characters>8413</Characters>
  <Lines>63</Lines>
  <Paragraphs>18</Paragraphs>
  <TotalTime>186</TotalTime>
  <ScaleCrop>false</ScaleCrop>
  <LinksUpToDate>false</LinksUpToDate>
  <CharactersWithSpaces>8446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YY</cp:lastModifiedBy>
  <cp:lastPrinted>2024-08-11T18:20:00Z</cp:lastPrinted>
  <dcterms:modified xsi:type="dcterms:W3CDTF">2026-10-12T06:56:44Z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eyJoZGlkIjoiZTIwYjE2NzhkNDM2Y2Y5NzI2YzFkODFmZGY5MzM4MWUiLCJ1c2VySWQiOiI0OTYzNTAzMzUifQ==</vt:lpwstr>
  </property>
</Properties>
</file>