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1D0E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46AE3B5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岳阳市城市管理和综合执法局本级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17B514D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b/>
          <w:sz w:val="52"/>
          <w:szCs w:val="52"/>
          <w:highlight w:val="none"/>
        </w:rPr>
      </w:pPr>
    </w:p>
    <w:p w14:paraId="7F03E1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79464C9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7861B3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467546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2201E6F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7DB15E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75A3975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171D599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3D2305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635F95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1D144E5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6196F4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61BA53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3D08A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部门（单位）名称：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（盖章）</w:t>
      </w:r>
    </w:p>
    <w:p w14:paraId="76E552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 xml:space="preserve">年 </w:t>
      </w: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月</w:t>
      </w: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日</w:t>
      </w:r>
    </w:p>
    <w:p w14:paraId="23644A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（此页为封面）</w:t>
      </w:r>
    </w:p>
    <w:p w14:paraId="0AC104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岳阳市城市管理和综合执法局本级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306375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单位基本情况</w:t>
      </w:r>
    </w:p>
    <w:p w14:paraId="26E2C8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kern w:val="2"/>
          <w:sz w:val="32"/>
          <w:szCs w:val="32"/>
          <w:highlight w:val="none"/>
          <w:lang w:val="en-US" w:eastAsia="zh-CN" w:bidi="ar-SA"/>
        </w:rPr>
        <w:t>（一）职能职责</w:t>
      </w:r>
    </w:p>
    <w:p w14:paraId="1C0D6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市城市管理和综合执法局主要承担市容环境卫生、园林绿化、城管执法、市政公共设施维护、路灯亮化、渣土运输（道路破占）、户外广告、城镇燃气、停车管理等职能。</w:t>
      </w:r>
    </w:p>
    <w:p w14:paraId="590EC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kern w:val="2"/>
          <w:sz w:val="32"/>
          <w:szCs w:val="32"/>
          <w:highlight w:val="none"/>
          <w:lang w:val="en-US" w:eastAsia="zh-CN" w:bidi="ar-SA"/>
        </w:rPr>
        <w:t>（二）机构设置</w:t>
      </w:r>
    </w:p>
    <w:p w14:paraId="33DCDD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局机关编制人数4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人，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在职人数46人，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设置15个内设机构，内设机构分别是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办公室、人事科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综合调研室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、计划财务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审计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科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信访维稳科、政策法规科、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执法监督科、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行政审批科、城市管理考评科、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环境卫生管理科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基础设施建设管理科（规划技术科）、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园林绿化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科、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燃气和安全管理科、地下管线管理科、城市容貌管理科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。按章程设置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机关党委、机关纪委，按相关规定设置城市管理工会、离退休人员管理服务科等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共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</w:rPr>
        <w:t>个科室。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highlight w:val="none"/>
          <w:lang w:val="en-US" w:eastAsia="zh-CN"/>
        </w:rPr>
        <w:t>局属二级机构市园林绿化管理中心编制10人，在职人数8人，未独立核算，财务由局机关统一管理。</w:t>
      </w:r>
    </w:p>
    <w:p w14:paraId="02D8436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二、一般公共预算支出情况</w:t>
      </w:r>
    </w:p>
    <w:p w14:paraId="1E86BB0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（一）基本支出情况</w:t>
      </w:r>
    </w:p>
    <w:p w14:paraId="46C8B05C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2025年,单位基本支出总额为1499.47万元，其中人员经费支出1356.26万元，主要用于职工工资、津补贴、绩效工资及社会缴费等。公用经费支出143.21万元，主要用于办公费、印刷费、水电费、邮电费、取暖费、物业费、差旅费、维修（护）费、租赁费、会议费、培训费、公务接待费、劳务费、委托业务费、工会经费、公务用车运行费、其他交通费用、其他商品和服务支出等单位运转费用支出。</w:t>
      </w:r>
    </w:p>
    <w:p w14:paraId="7B3A79D7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年度公务接待费预算金额为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万元，实际支出金额为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0.83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万元，公务用车购置及公务用车运行维护费支出预算金额为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万元（其中公务用车购置预算0万元），公务用车运行维护费实际支出金额为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3.06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万元（其中公务用车购置决算0万元），因公出国费用预算与实际支出均为0万元，“三公经费”支出总额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3.89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万元，控制在年初预算之内。</w:t>
      </w:r>
    </w:p>
    <w:p w14:paraId="6C4DF372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项目支出情况</w:t>
      </w:r>
    </w:p>
    <w:p w14:paraId="7FC69078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年，项目资金年初预算金额为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175.50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万元，年中追加项目经费预算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18751.84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万元，年度项目支出预算调整为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18927.34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万元。</w:t>
      </w:r>
    </w:p>
    <w:p w14:paraId="69062EC0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本年项目支出总额为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17405.22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万元，其中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日常工作经费123.72万元，非税收入超收返还及执收成本61.68万元，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</w:rPr>
        <w:t>企业军转干部补助</w:t>
      </w:r>
      <w:r>
        <w:rPr>
          <w:rFonts w:hint="eastAsia" w:ascii="Times New Roman" w:hAnsi="Times New Roman" w:eastAsia="仿宋" w:cs="仿宋"/>
          <w:b w:val="0"/>
          <w:bCs/>
          <w:sz w:val="32"/>
          <w:szCs w:val="32"/>
          <w:highlight w:val="none"/>
          <w:lang w:val="en-US" w:eastAsia="zh-CN"/>
        </w:rPr>
        <w:t>0.89万元，生活垃圾分类、城市管理考评专项经费150.04万元，市城区主要道路人行道海绵城市生态提质改造项目1639.54万元，蛇皮套和三大湖整治290万元，市中心城区春节氛围营造经费195.98万元，园林绿化管理经费65.82万元，鲜花一条街生产维护经费87.20万元，城市燃气管道老化更新改造工程经费525.20万元，其他事务管理经费（赔偿款）60.71万元，旅发大会市容市貌提质改造项目13545.19万元，巴陵中路（琵琶王立交桥-德胜路）绿化海绵改造工程220.60万元，花果畈垃圾处理场390.27万元，城市基础设施生命线安全工程项目30.24万元，双拥示范街区建设项目18.13万元。</w:t>
      </w:r>
    </w:p>
    <w:p w14:paraId="0D97A8E1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政府性基金预算支出情况</w:t>
      </w:r>
    </w:p>
    <w:p w14:paraId="316E1085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本单位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2025年度政府性基金年初预算数为0，年中调整预算金额为3845.47万元，政府性基金支出总额为3845.47万元，其中：蛇皮套和三大湖整治3468.83万元，市城区桥梁检测服务（9座）134.68万元，船舶垃圾收集经费101.96万元，青年堤等排水主涵清淤工程12.59万元，巴陵石化公司（原洞氮）权属泵站维修改造工程17.41万元，巴陵大桥西蘑菇亭公共绿地综合改造项目110万元。</w:t>
      </w:r>
    </w:p>
    <w:p w14:paraId="471055CE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国有资本经营预算支出情况</w:t>
      </w:r>
    </w:p>
    <w:p w14:paraId="066FF821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本单位无国有资本经营预算支出。</w:t>
      </w:r>
    </w:p>
    <w:p w14:paraId="7FB6C16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社会保险基金预算支出情况</w:t>
      </w:r>
    </w:p>
    <w:p w14:paraId="75BF67DB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本单位无社会保险基金预算支出。</w:t>
      </w:r>
    </w:p>
    <w:p w14:paraId="3F62F2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部门整体支出绩效情况</w:t>
      </w:r>
    </w:p>
    <w:p w14:paraId="7FE41BA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年度绩效目标</w:t>
      </w:r>
    </w:p>
    <w:p w14:paraId="162176DF">
      <w:pPr>
        <w:ind w:firstLine="640" w:firstLineChars="200"/>
        <w:rPr>
          <w:rFonts w:hint="eastAsia" w:ascii="Times New Roman" w:hAnsi="Times New Roman" w:eastAsia="仿宋" w:cs="仿宋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仿宋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2024年，我局始终坚持人民至上理念，紧紧围绕精细、智慧、文化、绿色、人本、平安“六大城管”建设，不断优化城市管理，增强服务功能，推动城市高品质发展。</w:t>
      </w:r>
    </w:p>
    <w:p w14:paraId="23303651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预算支出完成情况及取得效益</w:t>
      </w:r>
    </w:p>
    <w:p w14:paraId="61791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1.以举办旅发大会为契机，聚力完善城市功能配套</w:t>
      </w:r>
    </w:p>
    <w:p w14:paraId="0CF28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按照“办一次会、兴一座城”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的理念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切实履行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省旅发大会城乡风貌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牵头单位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职责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，会同相关部门单位筹资3.2亿元实施城乡风貌提质“六大行动”，助力省旅发大会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出新出彩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一是翻新大修破损道桥，城市动脉焕颜升级。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对岳阳大道、金凤桥南路等8条道路进行了翻新，对洞庭大道、北港南路等4条道路进行了大修，改造后的道路既“好看”又“好走”。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二是补绿增色扮靓节点，绘就红绿交织画卷。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新增绿地4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万平方米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、补植行道树6000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株，在岳阳大道、南湖广场等地匠心打造主题绿雕7处，在京港澳高速出入口、三荷机场等重要区域精心布设时令鲜花3万余盆，营造出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喜迎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八方来客的浓厚氛围。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三是提质改造景观亮化，城市夜景流光溢彩。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南湖广场、岳阳东站广场等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处景观照明提质改造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；运用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点光源和线型灯等技术对步行街友阿大厦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造景亮化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在洞庭南路与巴陵西路交汇处建设显示面积达500平方米的裸眼3D屏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成为城市夜景新亮点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、新地标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四是提升公厕建管水平，彰显城市文明温度。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提质改造公厕191座，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新建智慧公厕、智慧公交驿站、高标准示范公厕共计18座，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硬件设施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服务质量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，得到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市民和游客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广泛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好评。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五是精心打造文化名片，展示城市文化底蕴。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更新融入麋鹿、江豚、岳阳楼等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岳阳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文化护栏3.56万米，成为流动的岳阳文化窗口。在80块大型广告牌、16处电子屏、20座人行天桥投放“大美江湖，天下岳阳”等主题宣传标语，充分展示岳阳独特魅力。依法拆除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631处户外广告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擦亮城市“天际线”。</w:t>
      </w:r>
    </w:p>
    <w:p w14:paraId="0A83D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2.以开展污染防治为抓手，奋力守护城市蓝天碧水</w:t>
      </w:r>
    </w:p>
    <w:p w14:paraId="3C731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切实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扛牢“守护好一江碧水”政治责任，以高品质生态环境支撑城市管理高质量发展，助力建设天更蓝、地更绿、水更清的美丽岳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阳。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一是稳步推进生活垃圾分类。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举办“垃圾分类宣传周”、垃圾分类达人演讲比赛等大型活动。积极探索“垃圾分类+”模式，将其与湘超联赛、文明城市建设、志愿服务等活动深度融合，群众参与度和社会认同感显著增强。我市因垃圾分类工作成效突出，在全省“城管进社区”暨城市管理工作现场会上作典型推介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二是认真开展餐饮油烟管控。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新购置油烟检测仪8台，补齐专业设备短板；聚焦“五禁一劝”要求，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开展专项整治行动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次，取缔违规露天烧烤摊点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处，查处露天熏制行为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形成“处罚一个、警示一片”的效果。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三是全力落实飞灰管控要求。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指导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湘阴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、汨罗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市完成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飞灰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规范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堆存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问题整改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；督导平江县、华容县、汨罗市、岳阳锦能公司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全力落实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飞灰资源化利用“4000+N”吨任务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云溪区罗家坳垃圾填埋场进场飞灰全部得到规范填埋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四是多管齐下治理建筑垃圾。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出台《岳阳市建筑垃圾联单管理制度（试行）》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深入开展城市建筑垃圾治理百日攻坚行动，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立案171件，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清理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存量建筑垃圾5万余吨。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与市城投集团、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北京建工资源公司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签订框架合作协议，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推进市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中心城区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建筑垃圾资源化利用项目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建设明确了路径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121F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3.以实施精细管理为主线，努力刷新城市颜值气质</w:t>
      </w:r>
    </w:p>
    <w:p w14:paraId="4BDD13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秉承精心、精细、精致理念，坚持问题导向、结果导向，补短板、强弱项、消盲区，持续提升城市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颜值气质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一是环卫保障更加高效。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认真办好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“整治拖欠环卫工人工资”民生实事，未发生拖欠环卫工人工资问题，让环卫工人有保障、有干劲。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市中心城区大型垃圾中转站高效运转，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全年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转运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生活垃圾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万吨、餐厨垃圾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12.2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市静脉产业园全年焚烧生活垃圾52万吨、并网发电1.9亿度，资源化处置餐厨垃圾5.28万吨，规范化处置医疗废物3900余吨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。花果畈垃圾填埋场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全年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量化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处置垃圾渗滤液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万吨。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二是市政设施更加完善。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完成道路路面维修1.6万平方米、人行道维修3.7万平方米，维修更换各类检查井、雨水窗1400套，清淤疏浚排水管网23万米，清理桥梁伸缩缝超3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米；对桐子岭、城东南路等泵站关键设备进行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大修升级。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三是园林绿化更加优美。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全面践行“公园城市”发展理念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建设口袋公园25个、城市绿道8.6公里，开放公园草坪、林下空间及空闲地等区域5.2公顷，实施“国球进公园”活动新增乒乓球台29个，打造了“300米见绿、500米见园”的15分钟休闲生活圈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四是照明管护更加精细。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市主城区装灯率达100%、亮灯率和设施完好率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超过98%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完成岳阳大道等40条主次干道绿色照明改造，新装LED灯具6100余套，安装智慧单灯控制终端2000套；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在公园广场、主要路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段、重要节点采取摆花和亮化造景等方式营造节日氛围，实现“白天赏花、夜晚观灯、全天看景”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的良好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效果。</w:t>
      </w:r>
    </w:p>
    <w:p w14:paraId="1F9FF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4.以增进民生福祉为重点，全力提高城市管理温度</w:t>
      </w:r>
    </w:p>
    <w:p w14:paraId="705DE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把增进民生福祉作为工作出发点和落脚点，认真解决涉及群众切身利益的问题，打通服务群众“最后一公里”。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一是持续开展停车秩序专项整治，缓解城区“停车难”问题。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拆除违规设置停车设施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余处，释放公共停车泊位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，特别是市公安局城管执法大队在整治行动中发挥了重要保障作用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；发送劝离短信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3.63万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条，抄牌违停车辆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2.09万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，提高了道路临时泊位周转率；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家“产权清晰、符合条件又确有需求”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停车场备案登记，得到市人大和市政府充分肯定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以市政府办名义下发《关于做好市城区机关事业单位停车场对外开放工作的通知》，督促各级机关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、国有企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事业单位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免费对外开放内部停车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泊位6000余个。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二是持续开展“城管进社区”活动，整治社区“脏乱差”顽疾。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城管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与街道、社区、物业等联动协作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“问题收集—任务分派—联合处置—结果反馈”闭环管理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实施“宣传+服务”双轮驱动，开展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宣传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场，发放宣传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余份，收集居民诉求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余条，解决污水直排、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基础设施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破损等问题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1763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个，提升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社区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三是持续开展部门联合执法行动，整治两站地区“喊客拉客”难题。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建立“城管+公安+交通运输”联勤联动机制，开展“打非治违”联合执法行动190次，查处非法营运车辆36台，移送公安机关依法行政拘留2人，有力维护了岳阳窗口形象。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四是持续完善城管行政审批流程，助力优化岳阳营商环境。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高效办理审批事项1058件。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优化营商环境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得用气”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指标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测评位居全省并列第一。打造城管类事务“一证通办”升级版，将原有的“四证合一”升级为“六证合一”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推行市、区两级占道类审批“并联办”。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市政府《营商专报》专文推介表扬我局优化营商环境工作成效。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五是持续开展对口帮扶支援工作，助力改善民生凝聚人心。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与桑日县政府签订合作协议，筹措资金20余万元支援桑日县，接待桑日县来岳阳考察多次，帮扶其提升城市建设管理水平；</w:t>
      </w:r>
      <w:r>
        <w:rPr>
          <w:rFonts w:hint="eastAsia" w:ascii="仿宋_GB2312" w:hAnsi="Times New Roman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对平江县、湘阴县共6个村开展驻村帮扶，落实各项资金120余万元，助力乡村振兴。</w:t>
      </w:r>
    </w:p>
    <w:p w14:paraId="5B3F6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5.以保障安全稳定为底线，大力提升城市运行韧性</w:t>
      </w:r>
    </w:p>
    <w:p w14:paraId="02F80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将“时时放心不下”的责任感转化为“事事心中有底”的行动力，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不断提升本质安全水平，城管领域安全形势稳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向好。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一是持续深化城镇燃气安全整治，守护好“用气”安全。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全力落实中央纪委国家监委监督推进的“整治城镇燃气安全问题”民生实事，更新改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造老化燃气管网38.04公里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、户内设施1.31万户，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整合市主城区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个液化石油气场站并实现集中配送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“敲门行动”入户安全宣传和餐饮企业负责人安全教育实现“两个100%覆盖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”，排查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整改安全风险隐患1710个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二是统筹做好城区防洪排涝工作，守护好“汛期”安全。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印发《岳阳市主城区防涝排渍预案》，锚定“人员零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死亡、城市正常运转、群众损失降至最低”三个目标，严格落实“631”叫应提醒机制，依托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智慧城管平台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实行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24小时监控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和调度，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有效应对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强降雨天气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，确保了安全度汛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三是坚决抓好烟花爆竹管控工作，守护好“节日”安全。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建立市－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县（市、区）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－乡镇（街道、管理处）－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村（社区）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四级指挥体系，聚焦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烟花爆竹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生产、销售、储存、运输、燃放5大环节持续开展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整治行动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，检查门店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500余家，劝阻燃放行为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00余起，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移送公安机关依法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行政拘留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，守住了安全、环保两条防线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四是做实做细信访维稳各项工作，守护好“政治”安全。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加强信访问题源头治理和法治化，59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件信访事项（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中央巡视组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交办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15件）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均得到及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时办理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，未发生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越级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赴省进京上访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和大规模集体上访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协调妥善解决市静脉产业园有关企业之间合同纠纷，避免了重大群体性事件发生。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落实平安建设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要求，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印发《加强机关院落、家属小区、公园广场安全防范工作职责任务分工方案》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相关安全防范指引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，督导相关单位加强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人防、物防、技防和制度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，全系统总体平安稳定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6792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6.以全面从严治党为导向，致力营造良好政治生态</w:t>
      </w:r>
    </w:p>
    <w:p w14:paraId="69652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坚持严在平时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严在份上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严在自身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，为城市管理和综合执法工作提供坚强保障。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一是严格标准选人用人。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把政治标准放在首位，通过公务员考试招录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参公人员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2名、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四海揽才”引进专业人员2名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安置退伍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士兵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2名，提拔任用正科职干部2名、副科职干部9名，调整交流科级干部14名，晋升职级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干部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65名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，挑选8名年轻干部跟班学习。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二是严管厚爱传导压力。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扎实开展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深入贯彻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中央八项规定精神学习教育，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局党组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举办读书班4期，组织开展各类学习100余场，局领导班子成员赴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单位专题授课7次，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学习教育从“有形覆盖”向“有效覆盖”深度转化。局党组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与市纪委监委驻局纪检监察组会商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全面从严治党工作2次，推动党风廉政建设和反腐败斗争向纵深发展。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三是严肃执纪形成震慑。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给予党纪政务处分12人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批评教育1人，责令检查1人，诫勉1人，让干部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职工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受警醒、明底线、知敬畏。健全市城管执法支队、市城管事务中心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、市市政维护管理中心、市城市照明管理中心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等局属单位基层纪委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，延伸监督触角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激活基层纪检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组织战斗力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2589B21">
      <w:pPr>
        <w:pStyle w:val="6"/>
        <w:numPr>
          <w:ilvl w:val="0"/>
          <w:numId w:val="4"/>
        </w:numPr>
        <w:ind w:left="0" w:leftChars="0" w:firstLine="643" w:firstLineChars="200"/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预算资金管理情况</w:t>
      </w:r>
    </w:p>
    <w:p w14:paraId="6257A470">
      <w:pPr>
        <w:ind w:firstLine="560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岳阳市人民政府办公室《关于贯彻落实省政府全面推进预算绩效管理意见的通知》（岳政办函〔2012〕171号）、岳阳市财政局《关于开展2025年度市级预算支出绩效自评工作的通知》（岳财函〔2026〕25号）等文件要求，我局成立了绩效评价及监督小组，定期开展相关工作。</w:t>
      </w:r>
    </w:p>
    <w:p w14:paraId="595928D6"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left="0" w:leftChars="0"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1.预算及绩效管理情况</w:t>
      </w:r>
    </w:p>
    <w:p w14:paraId="21AE23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我单位非常重视资金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</w:rPr>
        <w:t>预算管理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从预算编制环节入手，编制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</w:rPr>
        <w:t>资金预算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必须先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</w:rPr>
        <w:t>编制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预算绩效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</w:rPr>
        <w:t>目标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做到资金预算有目标，确保了财政资金支出效益。于2026年3月组织相关业务科室及局属预算单位开展了2025年度预算支出绩效自评工作，指导相关业务科室填报项目支出绩效自评表，确保绩效自评工作有序开展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绩效自评成效显著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eastAsia="zh-CN"/>
        </w:rPr>
        <w:t>。</w:t>
      </w:r>
    </w:p>
    <w:p w14:paraId="0338F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</w:rPr>
        <w:t>专项组织情况分析</w:t>
      </w:r>
    </w:p>
    <w:p w14:paraId="1FCD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在年初预算申报阶段，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完成了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2025年度项目预算绩效目标申报，将各专项纳入绩效管理，明确了主体责任。各项目责任部门在项目的实施过程中制定了项目实施方案，成立了项目领导小组，强化了项目管理组织领导。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工程建设项目主要是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第四届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旅发大会市容市貌提质改造项目、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船舶垃圾收集、城区燃气管道老化更新改造工程、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主城区桥梁加固维修工程、蛇皮套和三大湖整治、市中心城区春节氛围营造、鲜花一条街生产维护等项目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，都严格履行了政府采购和招投标手续，政府采购限额以下的项目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严格按政府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交易程序实施。</w:t>
      </w:r>
    </w:p>
    <w:p w14:paraId="479C72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</w:rPr>
        <w:t>专项管理情况分析</w:t>
      </w:r>
    </w:p>
    <w:p w14:paraId="659330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实行项目事前申报、事中监督、事后审计的管理模式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符合规定范围的项目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事前必须由实施单位向市城管局分管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领导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报告后方可实施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在实施过程中，根据相关规定，由市城管局相关业务科室和审计科进行跟进监管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项目完成后，由实施单位向市城管局提交经费使用申请书面报告和项目决算，书面报告内容包括申报理由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依据、项目实施效果等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重大事项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经市城管局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党组研究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</w:rPr>
        <w:t>决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val="en-US" w:eastAsia="zh-CN"/>
        </w:rPr>
        <w:t>定后，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财务领导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审批。</w:t>
      </w:r>
    </w:p>
    <w:p w14:paraId="69BDA3F0">
      <w:pPr>
        <w:pStyle w:val="5"/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  <w:t>4.资产管理情况</w:t>
      </w:r>
    </w:p>
    <w:p w14:paraId="5B115D50"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left="0" w:leftChars="0" w:firstLine="640" w:firstLineChars="0"/>
        <w:jc w:val="left"/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  <w:t>按照厉行节约、物尽其用的原则，资产管理采取统一建帐、统一核算管理。对每件固定资产使用明确保管职责，闲置的资产，由局办公室统一调整，合理流动，发挥其效益。固定资产配置和处置，均按市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国有资产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管理相关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  <w:t>规定程序办理，并严格按固定资产管理办法进行核算及管理。开展“三资”清查和资产盘点，于2025年</w:t>
      </w:r>
      <w:r>
        <w:rPr>
          <w:rFonts w:hint="eastAsia" w:ascii="Times New Roman" w:hAnsi="Times New Roman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10月和12月分别进行了两次国有资产自查工作，及时清点了闲置及出租出借资产信息，落实资产权属问题，进一步明晰产权、提高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资产使用率</w:t>
      </w:r>
      <w:r>
        <w:rPr>
          <w:rFonts w:hint="eastAsia" w:ascii="Times New Roman" w:hAnsi="Times New Roman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  <w:t>并根据本单位实际情况，修订了资产管理制度，加强实物管理。</w:t>
      </w:r>
    </w:p>
    <w:p w14:paraId="739A62C9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-SA"/>
        </w:rPr>
        <w:t>5.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资金管理情况</w:t>
      </w:r>
    </w:p>
    <w:p w14:paraId="21D6295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本单位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专项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资金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管理按资金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用途专款专用，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各专项间独立核算，严禁混用。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严格按照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专项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资金批准计划使用，不擅自调项、扩项、缩项，无拆借、挪用和挤占，对每笔专项资金的支付严格执行财务制度，落实专项资金审核程序。对专项资金的使用流程进行监督，定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期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查看财务报表检查专项资金使用情况。</w:t>
      </w:r>
    </w:p>
    <w:p w14:paraId="32402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highlight w:val="none"/>
          <w:lang w:val="en-US" w:eastAsia="zh-CN"/>
        </w:rPr>
        <w:t>6.运行成本和管理效率</w:t>
      </w:r>
    </w:p>
    <w:p w14:paraId="1EECC6D9">
      <w:pPr>
        <w:pStyle w:val="5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2025年，局机关全年预算金额为24830.93万元，实际支出金额为22750.16万元，其中基本支出1499.47万元、项目支出21250.69万元，年度预算执行率为91.62%，单位运行成本控制在年度预算金额内，资金周转利用效率高。</w:t>
      </w:r>
    </w:p>
    <w:p w14:paraId="680DC2D0">
      <w:pPr>
        <w:pStyle w:val="5"/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600" w:lineRule="exact"/>
        <w:ind w:firstLine="643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33333"/>
          <w:sz w:val="32"/>
          <w:szCs w:val="32"/>
          <w:highlight w:val="none"/>
          <w:shd w:val="clear" w:color="auto" w:fill="FFFFFF"/>
        </w:rPr>
        <w:t>评价结论</w:t>
      </w:r>
      <w:r>
        <w:rPr>
          <w:rFonts w:hint="eastAsia" w:ascii="Times New Roman" w:hAnsi="Times New Roman" w:eastAsia="楷体" w:cs="楷体"/>
          <w:b/>
          <w:bCs/>
          <w:color w:val="333333"/>
          <w:sz w:val="32"/>
          <w:szCs w:val="32"/>
          <w:highlight w:val="none"/>
          <w:shd w:val="clear" w:color="auto" w:fill="FFFFFF"/>
          <w:lang w:eastAsia="zh-CN"/>
        </w:rPr>
        <w:t>：</w:t>
      </w:r>
      <w:bookmarkStart w:id="0" w:name="_Toc2686_WPSOffice_Level2"/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评价小组通过定量和定性分析</w:t>
      </w:r>
      <w:bookmarkEnd w:id="0"/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2025年岳阳市城市管理和综合执法局本级整体支出，绩效评价最后得分为99.16分（具体评份明细见附件二），评价等级为“优”。</w:t>
      </w:r>
    </w:p>
    <w:p w14:paraId="286FAB59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left"/>
        <w:textAlignment w:val="auto"/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（四）绩效指标分析</w:t>
      </w:r>
    </w:p>
    <w:p w14:paraId="4FDE8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仿宋_GB2312"/>
          <w:sz w:val="32"/>
          <w:szCs w:val="32"/>
        </w:rPr>
        <w:t>预算执行过程情况</w:t>
      </w:r>
    </w:p>
    <w:p w14:paraId="1BA60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预算执行过程指标分值为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分，评价得分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9.16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分，主要扣分原因为全年执行数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占全年预算数的比例为91.62%，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少量公用经费和项目经费结余暂未支付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2BAAD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1" w:name="_Toc1611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仿宋_GB2312"/>
          <w:sz w:val="32"/>
          <w:szCs w:val="32"/>
        </w:rPr>
        <w:t>预算支出产出情况</w:t>
      </w:r>
      <w:bookmarkEnd w:id="1"/>
    </w:p>
    <w:p w14:paraId="3EB27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预算支出产出指标分值50分，评价得分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。</w:t>
      </w:r>
    </w:p>
    <w:p w14:paraId="221E5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2" w:name="_Toc25059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</w:rPr>
        <w:t>预算支出效益情况</w:t>
      </w:r>
      <w:bookmarkEnd w:id="2"/>
    </w:p>
    <w:p w14:paraId="29427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预算支出效益指标分值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0分，评价得分3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分。</w:t>
      </w:r>
    </w:p>
    <w:p w14:paraId="77CEB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4.服务对象</w:t>
      </w:r>
      <w:r>
        <w:rPr>
          <w:rFonts w:hint="eastAsia" w:ascii="Times New Roman" w:hAnsi="Times New Roman" w:eastAsia="仿宋_GB2312" w:cs="仿宋_GB2312"/>
          <w:sz w:val="32"/>
          <w:szCs w:val="32"/>
        </w:rPr>
        <w:t>满意度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情况</w:t>
      </w:r>
    </w:p>
    <w:p w14:paraId="4F700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预算支出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服务对象</w:t>
      </w:r>
      <w:r>
        <w:rPr>
          <w:rFonts w:hint="eastAsia" w:ascii="Times New Roman" w:hAnsi="Times New Roman" w:eastAsia="仿宋_GB2312" w:cs="仿宋_GB2312"/>
          <w:sz w:val="32"/>
          <w:szCs w:val="32"/>
        </w:rPr>
        <w:t>满意度指标分值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0分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评价得分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分。</w:t>
      </w:r>
    </w:p>
    <w:p w14:paraId="107E5BA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七、存在的问题及原因分析</w:t>
      </w:r>
    </w:p>
    <w:p w14:paraId="2DB07076">
      <w:pPr>
        <w:pStyle w:val="5"/>
        <w:numPr>
          <w:ilvl w:val="0"/>
          <w:numId w:val="5"/>
        </w:numPr>
        <w:ind w:firstLine="643" w:firstLineChars="20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预算执行存在偏差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。202</w:t>
      </w:r>
      <w:r>
        <w:rPr>
          <w:rFonts w:hint="eastAsia" w:ascii="Times New Roman" w:hAnsi="Times New Roman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年年初预算数为</w:t>
      </w:r>
      <w:r>
        <w:rPr>
          <w:rFonts w:hint="eastAsia" w:ascii="Times New Roman" w:hAnsi="Times New Roman" w:cs="仿宋"/>
          <w:sz w:val="32"/>
          <w:szCs w:val="32"/>
          <w:highlight w:val="none"/>
          <w:lang w:val="en-US" w:eastAsia="zh-CN"/>
        </w:rPr>
        <w:t>1396.04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万元，决算数为</w:t>
      </w:r>
      <w:r>
        <w:rPr>
          <w:rFonts w:hint="eastAsia" w:ascii="Times New Roman" w:hAnsi="Times New Roman" w:cs="仿宋"/>
          <w:sz w:val="32"/>
          <w:szCs w:val="32"/>
          <w:highlight w:val="none"/>
          <w:lang w:val="en-US" w:eastAsia="zh-CN"/>
        </w:rPr>
        <w:t>22750.16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主要原因一方面系根据年中工作实际情况及时调整预算，另一方面也反映出部门间沟通不够，资金申请不够及时，预算编制不够全面、完整。</w:t>
      </w:r>
    </w:p>
    <w:p w14:paraId="08E3194C">
      <w:pPr>
        <w:pStyle w:val="6"/>
        <w:numPr>
          <w:ilvl w:val="0"/>
          <w:numId w:val="0"/>
        </w:numPr>
        <w:ind w:firstLine="640" w:firstLineChars="200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政府采购管理有待加强</w:t>
      </w:r>
      <w:r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  <w:t>。2025年政府采购年中追加预算金额较大，政府采购预算编制不够全面，同时涉及到政府采购项目问题整改情况，主要问题涉及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采购实施计划中评标方法及标准未统一、资料缺失、部分流程</w:t>
      </w:r>
      <w:r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  <w:t>不规范等问题。</w:t>
      </w:r>
    </w:p>
    <w:p w14:paraId="7C181660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下一步改进措施</w:t>
      </w:r>
    </w:p>
    <w:p w14:paraId="17B94B32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321" w:firstLineChars="100"/>
        <w:jc w:val="left"/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（一）完善项目资金绩效管理</w:t>
      </w:r>
    </w:p>
    <w:p w14:paraId="38F24BEA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left"/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  <w:t>1.强化事前评估。预算编制起始阶段按项目紧迫性和成本效益分析，对项目支出进行科学合理的优先级排序，针对项目的必要性、经济性、目标合理性、方案可行性等方面进行源头把控。</w:t>
      </w:r>
    </w:p>
    <w:p w14:paraId="25EDA049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left"/>
        <w:rPr>
          <w:rFonts w:hint="eastAsia" w:ascii="Times New Roman" w:hAnsi="Times New Roman" w:eastAsia="仿宋" w:cs="仿宋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kern w:val="2"/>
          <w:sz w:val="32"/>
          <w:szCs w:val="32"/>
          <w:highlight w:val="none"/>
          <w:lang w:val="en-US" w:eastAsia="zh-CN" w:bidi="ar-SA"/>
        </w:rPr>
        <w:t>2.强化事中跟踪。预算执行中与业务科室协作开展事中绩效跟踪监控。围绕年初绩效目标，分析预算执行进度，监控财政资金的预计产出和执行效果，做到全覆盖、无死角，防止出现偏离绩效目标的现象。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加强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各业务科室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间沟通协调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掌握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工作进度，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要求业务科室定期填报项目支出绩效自评表，按照项目实施进度和合同规定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及时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跟进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预算资金申请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和支付流程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，进一步提高预算执行率。加强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单位部门间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沟通与协作，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项目实施进度及时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向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财政部门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预算资金，提高资金支付效率。</w:t>
      </w:r>
    </w:p>
    <w:p w14:paraId="051820B2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left"/>
        <w:rPr>
          <w:rFonts w:hint="eastAsia" w:ascii="Times New Roman" w:hAnsi="Times New Roman" w:eastAsia="仿宋" w:cs="仿宋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</w:rPr>
        <w:t>强化事后评价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eastAsia="zh-CN"/>
        </w:rPr>
        <w:t>。将绩效目标的编报质量、绩效运行监控的实际情况及绩效评价的最终结果，作为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下一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eastAsia="zh-CN"/>
        </w:rPr>
        <w:t>年度预算安排和政策调整的参考依据，确保财政资源的有效配置和政策的精准实施。</w:t>
      </w:r>
    </w:p>
    <w:p w14:paraId="0F646FC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提高政府采购管理水平</w:t>
      </w:r>
    </w:p>
    <w:p w14:paraId="6AE392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制定政府采购相关政策、法律法规、业务知识的培训计划，组织开展业务培训，提高工作人员业务水平。切实履行政府采购主体责任，严格按照政府采购相关法律法规进行采购，避免再次出现类似问题。严格代理机构选取标准，严把政府采购审核，确保招投标程序合法合规、公平公正。</w:t>
      </w:r>
    </w:p>
    <w:p w14:paraId="2D02EA0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部门整体支出绩效自评结果拟应用和公开情况</w:t>
      </w:r>
    </w:p>
    <w:p w14:paraId="1B32C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部门整体支出绩效自评结果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将作为完善本单位相关制度，改进资金管理的重要依据，同时，也将作为单位内部工作总结的参考依据。本单位的预算绩效目标、预算、决算及绩效评价均按相关规定及时在市城管局门户网站进行了公开。</w:t>
      </w:r>
    </w:p>
    <w:p w14:paraId="7A0290E7">
      <w:pPr>
        <w:pStyle w:val="3"/>
        <w:numPr>
          <w:ilvl w:val="0"/>
          <w:numId w:val="0"/>
        </w:numPr>
        <w:ind w:leftChars="200"/>
        <w:jc w:val="both"/>
        <w:rPr>
          <w:rFonts w:hint="default"/>
        </w:rPr>
      </w:pPr>
    </w:p>
    <w:p w14:paraId="56E369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报告附件：</w:t>
      </w:r>
    </w:p>
    <w:p w14:paraId="3B3CF1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部门整体支出绩效评价基础数据表</w:t>
      </w:r>
    </w:p>
    <w:p w14:paraId="156287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部门整体支出绩效自评表</w:t>
      </w:r>
    </w:p>
    <w:p w14:paraId="638ACA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项目支出绩效自评表（一个一级项目支出一张表）</w:t>
      </w:r>
    </w:p>
    <w:p w14:paraId="3AFE3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B368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7038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7AB2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24CE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7C00ED0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br w:type="page"/>
      </w:r>
    </w:p>
    <w:p w14:paraId="7F5D21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108456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1B6D7E2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tbl>
      <w:tblPr>
        <w:tblStyle w:val="9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0C7CE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326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D6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8DC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945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6854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112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716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57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40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ED3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96.49%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7B7A1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85E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653E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241F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8EA2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533D1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18F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8C17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9.88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E7CA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425F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3.89</w:t>
            </w:r>
          </w:p>
        </w:tc>
      </w:tr>
      <w:tr w14:paraId="6617D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6A7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6600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8.47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EF7E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5A77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3.06</w:t>
            </w:r>
          </w:p>
        </w:tc>
      </w:tr>
      <w:tr w14:paraId="7495A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1A3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3CD5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6575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1CBB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0019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CDA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D358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8.47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4B5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06B0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3.06</w:t>
            </w:r>
          </w:p>
        </w:tc>
      </w:tr>
      <w:tr w14:paraId="0C0EF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735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1A3B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446C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80A7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882D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69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3、公务接待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71A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1.41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83E8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08E5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0.83</w:t>
            </w:r>
          </w:p>
        </w:tc>
      </w:tr>
      <w:tr w14:paraId="31D59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CCA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0E60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7348.38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B0DB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  <w:t>22772.81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96D4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  <w:t>21250.69</w:t>
            </w:r>
          </w:p>
        </w:tc>
      </w:tr>
      <w:tr w14:paraId="3BD7E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002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1、日常工作经费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1D85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4D6D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125.00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DE97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123.72</w:t>
            </w:r>
          </w:p>
        </w:tc>
      </w:tr>
      <w:tr w14:paraId="5DF7B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B10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2、非税收入超收返还及执收成本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C56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140.56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D36D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50.5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AB68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61.68</w:t>
            </w:r>
          </w:p>
        </w:tc>
      </w:tr>
      <w:tr w14:paraId="55C1B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592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3、本级专项资金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547C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7207.82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5911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22536.6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F10B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21104.57</w:t>
            </w:r>
          </w:p>
        </w:tc>
      </w:tr>
      <w:tr w14:paraId="6D903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39C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市中心城区春节氛围营造经费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8C99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273.77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0FE3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199.60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2E69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195.98</w:t>
            </w:r>
          </w:p>
        </w:tc>
      </w:tr>
      <w:tr w14:paraId="6D143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2C6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园林绿化管理经费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5C0E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97.81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381F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68.47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6A2C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65.82</w:t>
            </w:r>
          </w:p>
        </w:tc>
      </w:tr>
      <w:tr w14:paraId="6D79A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213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城市基础设施生命线安全工程项目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C89A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FA0E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425.2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FB0C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30.24</w:t>
            </w:r>
          </w:p>
        </w:tc>
      </w:tr>
      <w:tr w14:paraId="3A8ED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BD3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蛇皮套和三大湖整治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38A2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3328.19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8E3B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3758.83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8A25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3758.83</w:t>
            </w:r>
          </w:p>
        </w:tc>
      </w:tr>
      <w:tr w14:paraId="04B12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299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市城区主要道路人行道海绵城市生态提质改造项目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B715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1742.5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8B6E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FAD0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</w:tr>
      <w:tr w14:paraId="66FEA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F18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垃圾分类、城管考评专项经费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ACE0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433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C0BE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AB5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150.04</w:t>
            </w:r>
          </w:p>
        </w:tc>
      </w:tr>
      <w:tr w14:paraId="49BD0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F85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企业军转干部补助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0E8D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1.95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EA65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AEE7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</w:tr>
      <w:tr w14:paraId="45B0F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3B8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青年堤等排水主涵清淤工程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8341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EEEC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35D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</w:tr>
      <w:tr w14:paraId="247C2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3F7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巴陵石化公司（原洞氮）权属泵站维修改造工程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791B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A5C3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17.42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93AB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17.41</w:t>
            </w:r>
          </w:p>
        </w:tc>
      </w:tr>
      <w:tr w14:paraId="4B8C6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2F6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鲜花一条街生产维护经费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5089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223.99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C9C9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87.2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871A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87.2</w:t>
            </w:r>
          </w:p>
        </w:tc>
      </w:tr>
      <w:tr w14:paraId="46684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30E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市城区桥梁检测服务（9座）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B794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0AE8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F391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</w:tr>
      <w:tr w14:paraId="28107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45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城市燃气管道老化更新改造工程经费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DFF4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581.48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0703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533.15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A3F2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</w:tr>
      <w:tr w14:paraId="4D7DD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4F1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船舶垃圾收集经费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7BD4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425.13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70DB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133.71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F4F7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101.96</w:t>
            </w:r>
          </w:p>
        </w:tc>
      </w:tr>
      <w:tr w14:paraId="23500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036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旅发大会市容市貌提质改造项目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7337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99F5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14056.21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9A3D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13545.19</w:t>
            </w:r>
          </w:p>
        </w:tc>
      </w:tr>
      <w:tr w14:paraId="06C3B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7A7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巴陵中路（琵琶王立交桥-德胜路）绿化海绵改造工程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0F49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D6A6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D438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</w:tr>
      <w:tr w14:paraId="54321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C49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花果畈垃圾处理场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0E09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EA8E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618.39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886F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390.27</w:t>
            </w:r>
          </w:p>
        </w:tc>
      </w:tr>
      <w:tr w14:paraId="7EC1B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C8B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双拥示范街区建设项目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E1E9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5B78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EA4A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18.13</w:t>
            </w:r>
          </w:p>
        </w:tc>
      </w:tr>
      <w:tr w14:paraId="14118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C54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巴陵大桥西蘑菇亭公共绿地综合改造项目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9AFB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7783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314.46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8C09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110</w:t>
            </w:r>
          </w:p>
        </w:tc>
      </w:tr>
      <w:tr w14:paraId="281E5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F6E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其他事务管理经费（赔偿款）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C0EC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5ED2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C5E2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</w:tr>
      <w:tr w14:paraId="6699B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98C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01C9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3BBA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8D8A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</w:tr>
      <w:tr w14:paraId="6C552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F7F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0617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177.11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97DD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155.43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441D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130.08</w:t>
            </w:r>
          </w:p>
        </w:tc>
      </w:tr>
      <w:tr w14:paraId="1642A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433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5B40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12.96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773C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BDD0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13.13　</w:t>
            </w:r>
          </w:p>
        </w:tc>
      </w:tr>
      <w:tr w14:paraId="00769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708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654D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1A63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1257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4258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0CF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9592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DEAE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550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F3F3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540.20</w:t>
            </w:r>
          </w:p>
        </w:tc>
      </w:tr>
      <w:tr w14:paraId="09853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430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3762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1124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455.26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B3EF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455.26</w:t>
            </w:r>
          </w:p>
        </w:tc>
      </w:tr>
      <w:tr w14:paraId="63C88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461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EC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DF3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303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99C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FC7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361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3046B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00B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048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4B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798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97C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D6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1F3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0128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D60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9460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</w:tbl>
    <w:p w14:paraId="4C55ED4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1AA046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2701F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        填报日期：          联系电话：            单位负责人签字：</w:t>
      </w:r>
    </w:p>
    <w:p w14:paraId="1C738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B8831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left"/>
        <w:textAlignment w:val="auto"/>
        <w:rPr>
          <w:rFonts w:ascii="仿宋_GB2312" w:eastAsia="仿宋_GB2312"/>
          <w:sz w:val="32"/>
          <w:szCs w:val="32"/>
        </w:rPr>
      </w:pPr>
    </w:p>
    <w:p w14:paraId="22FA32EF">
      <w:r>
        <w:br w:type="page"/>
      </w:r>
    </w:p>
    <w:p w14:paraId="6D3C78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3D84B7D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41E6452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9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34"/>
        <w:gridCol w:w="1270"/>
        <w:gridCol w:w="1311"/>
        <w:gridCol w:w="1269"/>
        <w:gridCol w:w="716"/>
        <w:gridCol w:w="873"/>
        <w:gridCol w:w="1446"/>
      </w:tblGrid>
      <w:tr w14:paraId="4B15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64439F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8999" w:type="dxa"/>
            <w:gridSpan w:val="8"/>
            <w:noWrap w:val="0"/>
            <w:vAlign w:val="center"/>
          </w:tcPr>
          <w:p w14:paraId="2285FF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2A4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6CBFB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年度预</w:t>
            </w:r>
          </w:p>
          <w:p w14:paraId="2E68F4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 w14:paraId="4C5EAC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DD9A3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11" w:type="dxa"/>
            <w:noWrap w:val="0"/>
            <w:vAlign w:val="center"/>
          </w:tcPr>
          <w:p w14:paraId="60556B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69" w:type="dxa"/>
            <w:noWrap w:val="0"/>
            <w:vAlign w:val="center"/>
          </w:tcPr>
          <w:p w14:paraId="44B122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16" w:type="dxa"/>
            <w:noWrap w:val="0"/>
            <w:vAlign w:val="center"/>
          </w:tcPr>
          <w:p w14:paraId="4A4C0E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1AB513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46" w:type="dxa"/>
            <w:noWrap w:val="0"/>
            <w:vAlign w:val="center"/>
          </w:tcPr>
          <w:p w14:paraId="186783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2374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5752E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noWrap w:val="0"/>
            <w:vAlign w:val="center"/>
          </w:tcPr>
          <w:p w14:paraId="00383D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70" w:type="dxa"/>
            <w:noWrap w:val="0"/>
            <w:vAlign w:val="center"/>
          </w:tcPr>
          <w:p w14:paraId="372730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1396.04</w:t>
            </w:r>
          </w:p>
        </w:tc>
        <w:tc>
          <w:tcPr>
            <w:tcW w:w="1311" w:type="dxa"/>
            <w:noWrap w:val="0"/>
            <w:vAlign w:val="center"/>
          </w:tcPr>
          <w:p w14:paraId="4BD9FA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24830.93</w:t>
            </w:r>
          </w:p>
        </w:tc>
        <w:tc>
          <w:tcPr>
            <w:tcW w:w="1269" w:type="dxa"/>
            <w:noWrap w:val="0"/>
            <w:vAlign w:val="center"/>
          </w:tcPr>
          <w:p w14:paraId="29EEE9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22750.16</w:t>
            </w:r>
          </w:p>
        </w:tc>
        <w:tc>
          <w:tcPr>
            <w:tcW w:w="716" w:type="dxa"/>
            <w:noWrap w:val="0"/>
            <w:vAlign w:val="center"/>
          </w:tcPr>
          <w:p w14:paraId="080EFA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09B2C3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91.62%</w:t>
            </w:r>
          </w:p>
        </w:tc>
        <w:tc>
          <w:tcPr>
            <w:tcW w:w="1446" w:type="dxa"/>
            <w:noWrap w:val="0"/>
            <w:vAlign w:val="center"/>
          </w:tcPr>
          <w:p w14:paraId="165C19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9.16</w:t>
            </w:r>
          </w:p>
        </w:tc>
      </w:tr>
      <w:tr w14:paraId="4704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7EDDD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51A508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0E1587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 w14:paraId="5716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AEE5D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343BD0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18893.42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512DC7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其中：基本支出：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1499.47</w:t>
            </w:r>
          </w:p>
        </w:tc>
      </w:tr>
      <w:tr w14:paraId="202E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FB62C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14E67A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政府性基金拨款：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3845.47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52A6B3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21250.69</w:t>
            </w:r>
          </w:p>
        </w:tc>
      </w:tr>
      <w:tr w14:paraId="3A780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0E7EB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28FA71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72F9BD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5C2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8142A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72742A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11.27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6951E2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BB9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C2A09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95" w:type="dxa"/>
            <w:gridSpan w:val="4"/>
            <w:noWrap w:val="0"/>
            <w:vAlign w:val="center"/>
          </w:tcPr>
          <w:p w14:paraId="273BF3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07EF79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8B1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6DA2E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noWrap w:val="0"/>
            <w:vAlign w:val="center"/>
          </w:tcPr>
          <w:p w14:paraId="0532FA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目标 1：构建城市管理管理精细化、规范化、不断提高城市管理公共服务水平、打造精细、智慧、文化、绿色、人本、平安城管，为岳阳大城市建设做出应有贡献。</w:t>
            </w:r>
          </w:p>
          <w:p w14:paraId="08DFFB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目标 2：科学设置指标，把实事项目和市政府重点工作完成情况作为业绩考核的重要指标。</w:t>
            </w:r>
          </w:p>
          <w:p w14:paraId="129130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目标3：保障局机关中心工作和其他重大城市管理工作任务顺利开展和完成。　　</w:t>
            </w:r>
          </w:p>
        </w:tc>
        <w:tc>
          <w:tcPr>
            <w:tcW w:w="4304" w:type="dxa"/>
            <w:gridSpan w:val="4"/>
            <w:noWrap w:val="0"/>
            <w:vAlign w:val="center"/>
          </w:tcPr>
          <w:p w14:paraId="4C5658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管理精细化、规范化的城管队伍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服务城市管理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，提高了城市管理公共服务水平，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进一步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打造精细、智慧、文化、绿色、人本、平安城管，为岳阳大城市建设做出了应有贡献。</w:t>
            </w:r>
          </w:p>
          <w:p w14:paraId="435CCC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2、科学设置考核指标，按时按质完成实事项目和政府重点工作。</w:t>
            </w:r>
          </w:p>
          <w:p w14:paraId="364D98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3、顺利保障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局机关中心工作和其他重大城市管理工作任务顺利开展和完成。</w:t>
            </w:r>
          </w:p>
        </w:tc>
      </w:tr>
      <w:tr w14:paraId="3E9C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2C7E5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2395A5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4D8A5F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4C9478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  <w:p w14:paraId="639CA2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E1E63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34" w:type="dxa"/>
            <w:noWrap w:val="0"/>
            <w:vAlign w:val="center"/>
          </w:tcPr>
          <w:p w14:paraId="2E3BF9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70" w:type="dxa"/>
            <w:noWrap w:val="0"/>
            <w:vAlign w:val="center"/>
          </w:tcPr>
          <w:p w14:paraId="0ABF5D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11" w:type="dxa"/>
            <w:noWrap w:val="0"/>
            <w:vAlign w:val="center"/>
          </w:tcPr>
          <w:p w14:paraId="20A1D8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69" w:type="dxa"/>
            <w:noWrap w:val="0"/>
            <w:vAlign w:val="center"/>
          </w:tcPr>
          <w:p w14:paraId="66171C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16" w:type="dxa"/>
            <w:noWrap w:val="0"/>
            <w:vAlign w:val="center"/>
          </w:tcPr>
          <w:p w14:paraId="180C3B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DEEE1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46" w:type="dxa"/>
            <w:noWrap w:val="0"/>
            <w:vAlign w:val="center"/>
          </w:tcPr>
          <w:p w14:paraId="149BED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D72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933BF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F2000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7B3402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34455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34" w:type="dxa"/>
            <w:vMerge w:val="restart"/>
            <w:noWrap w:val="0"/>
            <w:vAlign w:val="center"/>
          </w:tcPr>
          <w:p w14:paraId="54658F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70" w:type="dxa"/>
            <w:noWrap w:val="0"/>
            <w:vAlign w:val="center"/>
          </w:tcPr>
          <w:p w14:paraId="56B7D9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翻新大修破损道桥</w:t>
            </w:r>
          </w:p>
        </w:tc>
        <w:tc>
          <w:tcPr>
            <w:tcW w:w="1311" w:type="dxa"/>
            <w:noWrap w:val="0"/>
            <w:vAlign w:val="center"/>
          </w:tcPr>
          <w:p w14:paraId="7FEAF9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8条道路翻新，4条道路大修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54D02A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8条道路翻新，4条道路大修</w:t>
            </w:r>
          </w:p>
        </w:tc>
        <w:tc>
          <w:tcPr>
            <w:tcW w:w="716" w:type="dxa"/>
            <w:noWrap w:val="0"/>
            <w:vAlign w:val="center"/>
          </w:tcPr>
          <w:p w14:paraId="34060B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0A1C7D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59CC7B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03F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15E47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FD46C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056D58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EDA36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补绿增色扮靓节点</w:t>
            </w:r>
          </w:p>
        </w:tc>
        <w:tc>
          <w:tcPr>
            <w:tcW w:w="1311" w:type="dxa"/>
            <w:noWrap w:val="0"/>
            <w:vAlign w:val="center"/>
          </w:tcPr>
          <w:p w14:paraId="67E693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新增绿地4万平方米、补植行道树6000余株打造主题绿雕7处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、布设时令鲜花3万余盆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30F189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新增绿地4万平方米、补植行道树6000余株打造主题绿雕7处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、布设时令鲜花3万余盆</w:t>
            </w:r>
          </w:p>
        </w:tc>
        <w:tc>
          <w:tcPr>
            <w:tcW w:w="716" w:type="dxa"/>
            <w:noWrap w:val="0"/>
            <w:vAlign w:val="center"/>
          </w:tcPr>
          <w:p w14:paraId="104F66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320988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4AD294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9535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17B17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D840D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3AC972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5CB6F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精心打造文化名片</w:t>
            </w:r>
          </w:p>
        </w:tc>
        <w:tc>
          <w:tcPr>
            <w:tcW w:w="1311" w:type="dxa"/>
            <w:noWrap w:val="0"/>
            <w:vAlign w:val="center"/>
          </w:tcPr>
          <w:p w14:paraId="0EA971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更新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文化护栏3.56万米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；在80块大型广告牌、16处电子屏、20座人行天桥投放主题宣传标语；依法拆除631处户外广告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180E96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更新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文化护栏3.56万米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；在80块大型广告牌、16处电子屏、20座人行天桥投放主题宣传标语；依法拆除631处户外广告</w:t>
            </w:r>
          </w:p>
        </w:tc>
        <w:tc>
          <w:tcPr>
            <w:tcW w:w="716" w:type="dxa"/>
            <w:noWrap w:val="0"/>
            <w:vAlign w:val="center"/>
          </w:tcPr>
          <w:p w14:paraId="0DF525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19EE4B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4F7A2B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866A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5038D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A60AD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326EA6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06EAA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提升公厕建管水平</w:t>
            </w:r>
          </w:p>
        </w:tc>
        <w:tc>
          <w:tcPr>
            <w:tcW w:w="1311" w:type="dxa"/>
            <w:noWrap w:val="0"/>
            <w:vAlign w:val="center"/>
          </w:tcPr>
          <w:p w14:paraId="709A33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组织提质改造公厕191座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，新建智慧公厕、智慧公交驿站、高标准示范公厕共计18座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47C46E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组织提质改造公厕191座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，新建智慧公厕、智慧公交驿站、高标准示范公厕共计18座</w:t>
            </w:r>
          </w:p>
        </w:tc>
        <w:tc>
          <w:tcPr>
            <w:tcW w:w="716" w:type="dxa"/>
            <w:noWrap w:val="0"/>
            <w:vAlign w:val="center"/>
          </w:tcPr>
          <w:p w14:paraId="641556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49FD9E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0BD503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0D73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A9874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CF3B8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4E5244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DC49B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稳步推进生活垃圾分类</w:t>
            </w:r>
          </w:p>
        </w:tc>
        <w:tc>
          <w:tcPr>
            <w:tcW w:w="1311" w:type="dxa"/>
            <w:noWrap w:val="0"/>
            <w:vAlign w:val="center"/>
          </w:tcPr>
          <w:p w14:paraId="3A2A97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举办“垃圾分类宣传周”、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  <w:t>一次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垃圾分类达人演讲比赛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526059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举办“垃圾分类宣传周”、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  <w:t>一次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垃圾分类达人演讲比赛</w:t>
            </w:r>
          </w:p>
        </w:tc>
        <w:tc>
          <w:tcPr>
            <w:tcW w:w="716" w:type="dxa"/>
            <w:noWrap w:val="0"/>
            <w:vAlign w:val="center"/>
          </w:tcPr>
          <w:p w14:paraId="28F74C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6A7FA0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692FB0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B55E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D2F69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99039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4A2509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91A47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开展餐饮油烟管控</w:t>
            </w:r>
          </w:p>
        </w:tc>
        <w:tc>
          <w:tcPr>
            <w:tcW w:w="1311" w:type="dxa"/>
            <w:noWrap w:val="0"/>
            <w:vAlign w:val="center"/>
          </w:tcPr>
          <w:p w14:paraId="16E94C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新购置油烟检测仪8台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开展专项整治行动46次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取缔违规露天烧烤摊点30处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查处露天熏制行为97起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77891D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新购置油烟检测仪8台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开展专项整治行动46次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取缔违规露天烧烤摊点30处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查处露天熏制行为97起</w:t>
            </w:r>
          </w:p>
        </w:tc>
        <w:tc>
          <w:tcPr>
            <w:tcW w:w="716" w:type="dxa"/>
            <w:noWrap w:val="0"/>
            <w:vAlign w:val="center"/>
          </w:tcPr>
          <w:p w14:paraId="0BE7FC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242564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61F124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721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35B4C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7B70E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50A796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36DC4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提质改造景观亮化</w:t>
            </w:r>
          </w:p>
        </w:tc>
        <w:tc>
          <w:tcPr>
            <w:tcW w:w="1311" w:type="dxa"/>
            <w:noWrap w:val="0"/>
            <w:vAlign w:val="center"/>
          </w:tcPr>
          <w:p w14:paraId="1AD948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完成36处景观照明提质改造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；建设显示面积达500平方米的裸眼3D屏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4EB603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完成36处景观照明提质改造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；建设显示面积达500平方米的裸眼3D屏</w:t>
            </w:r>
          </w:p>
        </w:tc>
        <w:tc>
          <w:tcPr>
            <w:tcW w:w="716" w:type="dxa"/>
            <w:noWrap w:val="0"/>
            <w:vAlign w:val="center"/>
          </w:tcPr>
          <w:p w14:paraId="014BE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noWrap w:val="0"/>
            <w:vAlign w:val="center"/>
          </w:tcPr>
          <w:p w14:paraId="65D391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46" w:type="dxa"/>
            <w:noWrap w:val="0"/>
            <w:vAlign w:val="center"/>
          </w:tcPr>
          <w:p w14:paraId="5FF969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F236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A1DA3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B0BD3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restart"/>
            <w:noWrap w:val="0"/>
            <w:vAlign w:val="center"/>
          </w:tcPr>
          <w:p w14:paraId="75FA04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70" w:type="dxa"/>
            <w:noWrap w:val="0"/>
            <w:vAlign w:val="center"/>
          </w:tcPr>
          <w:p w14:paraId="701875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以高品质生态环境支撑城市管理高质量发展</w:t>
            </w:r>
          </w:p>
        </w:tc>
        <w:tc>
          <w:tcPr>
            <w:tcW w:w="1311" w:type="dxa"/>
            <w:noWrap w:val="0"/>
            <w:vAlign w:val="center"/>
          </w:tcPr>
          <w:p w14:paraId="577D30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确保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城市管理高质量发展</w:t>
            </w:r>
          </w:p>
        </w:tc>
        <w:tc>
          <w:tcPr>
            <w:tcW w:w="1269" w:type="dxa"/>
            <w:noWrap w:val="0"/>
            <w:vAlign w:val="center"/>
          </w:tcPr>
          <w:p w14:paraId="318372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得以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高质量发展</w:t>
            </w:r>
          </w:p>
        </w:tc>
        <w:tc>
          <w:tcPr>
            <w:tcW w:w="716" w:type="dxa"/>
            <w:noWrap w:val="0"/>
            <w:vAlign w:val="center"/>
          </w:tcPr>
          <w:p w14:paraId="0FF0BC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71287A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19FA6D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411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EDD27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28C10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115DED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28E56C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市中心城区大型垃圾中转站高效运转</w:t>
            </w:r>
          </w:p>
        </w:tc>
        <w:tc>
          <w:tcPr>
            <w:tcW w:w="1311" w:type="dxa"/>
            <w:noWrap w:val="0"/>
            <w:vAlign w:val="center"/>
          </w:tcPr>
          <w:p w14:paraId="1CE2EF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高效运转</w:t>
            </w:r>
          </w:p>
        </w:tc>
        <w:tc>
          <w:tcPr>
            <w:tcW w:w="1269" w:type="dxa"/>
            <w:noWrap w:val="0"/>
            <w:vAlign w:val="center"/>
          </w:tcPr>
          <w:p w14:paraId="5E7D81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高效运转</w:t>
            </w:r>
          </w:p>
        </w:tc>
        <w:tc>
          <w:tcPr>
            <w:tcW w:w="716" w:type="dxa"/>
            <w:noWrap w:val="0"/>
            <w:vAlign w:val="center"/>
          </w:tcPr>
          <w:p w14:paraId="0DFF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2A81C7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5710DD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6A2E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28C43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409F4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4598B1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D2CD9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照明管护更加精细</w:t>
            </w:r>
          </w:p>
        </w:tc>
        <w:tc>
          <w:tcPr>
            <w:tcW w:w="1311" w:type="dxa"/>
            <w:noWrap w:val="0"/>
            <w:vAlign w:val="center"/>
          </w:tcPr>
          <w:p w14:paraId="4DEE66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提升精细化程度</w:t>
            </w:r>
          </w:p>
        </w:tc>
        <w:tc>
          <w:tcPr>
            <w:tcW w:w="1269" w:type="dxa"/>
            <w:noWrap w:val="0"/>
            <w:vAlign w:val="center"/>
          </w:tcPr>
          <w:p w14:paraId="642E08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提升精细化程度</w:t>
            </w:r>
          </w:p>
        </w:tc>
        <w:tc>
          <w:tcPr>
            <w:tcW w:w="716" w:type="dxa"/>
            <w:noWrap w:val="0"/>
            <w:vAlign w:val="center"/>
          </w:tcPr>
          <w:p w14:paraId="6ACFA4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6DC11E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22DBA4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924E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03D60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9AA2E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329916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451F4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市政设施更加完善</w:t>
            </w:r>
          </w:p>
        </w:tc>
        <w:tc>
          <w:tcPr>
            <w:tcW w:w="1311" w:type="dxa"/>
            <w:noWrap w:val="0"/>
            <w:vAlign w:val="center"/>
          </w:tcPr>
          <w:p w14:paraId="773373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完善市政设施</w:t>
            </w:r>
          </w:p>
        </w:tc>
        <w:tc>
          <w:tcPr>
            <w:tcW w:w="1269" w:type="dxa"/>
            <w:noWrap w:val="0"/>
            <w:vAlign w:val="center"/>
          </w:tcPr>
          <w:p w14:paraId="34676B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市政设施得以完善</w:t>
            </w:r>
          </w:p>
        </w:tc>
        <w:tc>
          <w:tcPr>
            <w:tcW w:w="716" w:type="dxa"/>
            <w:noWrap w:val="0"/>
            <w:vAlign w:val="center"/>
          </w:tcPr>
          <w:p w14:paraId="171DFD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4E6456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463629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9366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DDA73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9CB9F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restart"/>
            <w:noWrap w:val="0"/>
            <w:vAlign w:val="center"/>
          </w:tcPr>
          <w:p w14:paraId="1D1227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70" w:type="dxa"/>
            <w:noWrap w:val="0"/>
            <w:vAlign w:val="center"/>
          </w:tcPr>
          <w:p w14:paraId="405659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统筹做好城区防洪排涝工作</w:t>
            </w:r>
          </w:p>
        </w:tc>
        <w:tc>
          <w:tcPr>
            <w:tcW w:w="1311" w:type="dxa"/>
            <w:noWrap w:val="0"/>
            <w:vAlign w:val="center"/>
          </w:tcPr>
          <w:p w14:paraId="4A3993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依托市智慧城管平台实行24小时监控和调度</w:t>
            </w:r>
          </w:p>
        </w:tc>
        <w:tc>
          <w:tcPr>
            <w:tcW w:w="1269" w:type="dxa"/>
            <w:noWrap w:val="0"/>
            <w:vAlign w:val="center"/>
          </w:tcPr>
          <w:p w14:paraId="44B207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依托市智慧城管平台实行24小时监控和调度</w:t>
            </w:r>
          </w:p>
        </w:tc>
        <w:tc>
          <w:tcPr>
            <w:tcW w:w="716" w:type="dxa"/>
            <w:noWrap w:val="0"/>
            <w:vAlign w:val="center"/>
          </w:tcPr>
          <w:p w14:paraId="14CDCE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dxa"/>
            <w:noWrap w:val="0"/>
            <w:vAlign w:val="center"/>
          </w:tcPr>
          <w:p w14:paraId="601DEF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446" w:type="dxa"/>
            <w:noWrap w:val="0"/>
            <w:vAlign w:val="center"/>
          </w:tcPr>
          <w:p w14:paraId="4B4A9C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F2F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CD45E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CC89C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4D18CA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65B0BC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做实做细信访维稳各项工作</w:t>
            </w:r>
          </w:p>
        </w:tc>
        <w:tc>
          <w:tcPr>
            <w:tcW w:w="1311" w:type="dxa"/>
            <w:noWrap w:val="0"/>
            <w:vAlign w:val="center"/>
          </w:tcPr>
          <w:p w14:paraId="056EAA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信访事项及时办理</w:t>
            </w:r>
          </w:p>
        </w:tc>
        <w:tc>
          <w:tcPr>
            <w:tcW w:w="1269" w:type="dxa"/>
            <w:noWrap w:val="0"/>
            <w:vAlign w:val="center"/>
          </w:tcPr>
          <w:p w14:paraId="731A2B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信访事项均得到及时办理</w:t>
            </w:r>
          </w:p>
        </w:tc>
        <w:tc>
          <w:tcPr>
            <w:tcW w:w="716" w:type="dxa"/>
            <w:noWrap w:val="0"/>
            <w:vAlign w:val="center"/>
          </w:tcPr>
          <w:p w14:paraId="5A7D97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dxa"/>
            <w:noWrap w:val="0"/>
            <w:vAlign w:val="center"/>
          </w:tcPr>
          <w:p w14:paraId="275CD1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446" w:type="dxa"/>
            <w:noWrap w:val="0"/>
            <w:vAlign w:val="center"/>
          </w:tcPr>
          <w:p w14:paraId="2BEFF1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BFC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4241A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B7AF7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restart"/>
            <w:noWrap w:val="0"/>
            <w:vAlign w:val="center"/>
          </w:tcPr>
          <w:p w14:paraId="395FEB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70" w:type="dxa"/>
            <w:noWrap w:val="0"/>
            <w:vAlign w:val="center"/>
          </w:tcPr>
          <w:p w14:paraId="1E2DFF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控制在预算内</w:t>
            </w:r>
          </w:p>
        </w:tc>
        <w:tc>
          <w:tcPr>
            <w:tcW w:w="1311" w:type="dxa"/>
            <w:noWrap w:val="0"/>
            <w:vAlign w:val="center"/>
          </w:tcPr>
          <w:p w14:paraId="18B597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不超过预算金额</w:t>
            </w:r>
          </w:p>
        </w:tc>
        <w:tc>
          <w:tcPr>
            <w:tcW w:w="1269" w:type="dxa"/>
            <w:noWrap w:val="0"/>
            <w:vAlign w:val="center"/>
          </w:tcPr>
          <w:p w14:paraId="3B938D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超过预算金额</w:t>
            </w:r>
          </w:p>
        </w:tc>
        <w:tc>
          <w:tcPr>
            <w:tcW w:w="716" w:type="dxa"/>
            <w:noWrap w:val="0"/>
            <w:vAlign w:val="center"/>
          </w:tcPr>
          <w:p w14:paraId="6AB5A1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5D66D1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46" w:type="dxa"/>
            <w:noWrap w:val="0"/>
            <w:vAlign w:val="center"/>
          </w:tcPr>
          <w:p w14:paraId="16D058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76B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B2D6D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6AD50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06C905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5EAEA3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对社会发展可能造成的负面影响</w:t>
            </w:r>
          </w:p>
        </w:tc>
        <w:tc>
          <w:tcPr>
            <w:tcW w:w="1311" w:type="dxa"/>
            <w:noWrap w:val="0"/>
            <w:vAlign w:val="center"/>
          </w:tcPr>
          <w:p w14:paraId="09E859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269" w:type="dxa"/>
            <w:noWrap w:val="0"/>
            <w:vAlign w:val="center"/>
          </w:tcPr>
          <w:p w14:paraId="45399F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716" w:type="dxa"/>
            <w:noWrap w:val="0"/>
            <w:vAlign w:val="center"/>
          </w:tcPr>
          <w:p w14:paraId="364BAE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32700D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46" w:type="dxa"/>
            <w:noWrap w:val="0"/>
            <w:vAlign w:val="center"/>
          </w:tcPr>
          <w:p w14:paraId="4DEF5C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5DF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924C4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1088E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1BCCEE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C0837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对自然环境可能造成的负面影响</w:t>
            </w:r>
          </w:p>
        </w:tc>
        <w:tc>
          <w:tcPr>
            <w:tcW w:w="1311" w:type="dxa"/>
            <w:noWrap w:val="0"/>
            <w:vAlign w:val="center"/>
          </w:tcPr>
          <w:p w14:paraId="2ED51A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269" w:type="dxa"/>
            <w:noWrap w:val="0"/>
            <w:vAlign w:val="center"/>
          </w:tcPr>
          <w:p w14:paraId="2C06FC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716" w:type="dxa"/>
            <w:noWrap w:val="0"/>
            <w:vAlign w:val="center"/>
          </w:tcPr>
          <w:p w14:paraId="3639E4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noWrap w:val="0"/>
            <w:vAlign w:val="center"/>
          </w:tcPr>
          <w:p w14:paraId="759B6B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46" w:type="dxa"/>
            <w:noWrap w:val="0"/>
            <w:vAlign w:val="center"/>
          </w:tcPr>
          <w:p w14:paraId="61FE7D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4E7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DB8B1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08290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1413FF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BC49C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3B1B96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34" w:type="dxa"/>
            <w:noWrap w:val="0"/>
            <w:vAlign w:val="center"/>
          </w:tcPr>
          <w:p w14:paraId="446E73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D4A85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noWrap w:val="0"/>
            <w:vAlign w:val="center"/>
          </w:tcPr>
          <w:p w14:paraId="301A0C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管理到位，节约财政资金，产生间接经济效益。</w:t>
            </w:r>
          </w:p>
        </w:tc>
        <w:tc>
          <w:tcPr>
            <w:tcW w:w="1311" w:type="dxa"/>
            <w:noWrap w:val="0"/>
            <w:vAlign w:val="center"/>
          </w:tcPr>
          <w:p w14:paraId="129BB1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产生间接经济效益</w:t>
            </w:r>
          </w:p>
        </w:tc>
        <w:tc>
          <w:tcPr>
            <w:tcW w:w="1269" w:type="dxa"/>
            <w:noWrap w:val="0"/>
            <w:vAlign w:val="center"/>
          </w:tcPr>
          <w:p w14:paraId="470718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产生间接经济效益</w:t>
            </w:r>
          </w:p>
        </w:tc>
        <w:tc>
          <w:tcPr>
            <w:tcW w:w="716" w:type="dxa"/>
            <w:noWrap w:val="0"/>
            <w:vAlign w:val="center"/>
          </w:tcPr>
          <w:p w14:paraId="675B6B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73" w:type="dxa"/>
            <w:noWrap w:val="0"/>
            <w:vAlign w:val="center"/>
          </w:tcPr>
          <w:p w14:paraId="0400BF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46" w:type="dxa"/>
            <w:noWrap w:val="0"/>
            <w:vAlign w:val="center"/>
          </w:tcPr>
          <w:p w14:paraId="3E8278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BDE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E6CC4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70122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restart"/>
            <w:noWrap w:val="0"/>
            <w:vAlign w:val="center"/>
          </w:tcPr>
          <w:p w14:paraId="06BAE6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71E4F8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noWrap w:val="0"/>
            <w:vAlign w:val="center"/>
          </w:tcPr>
          <w:p w14:paraId="3BA257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以举办旅发大会为契机，聚力完善城市功能配套</w:t>
            </w:r>
          </w:p>
        </w:tc>
        <w:tc>
          <w:tcPr>
            <w:tcW w:w="1311" w:type="dxa"/>
            <w:noWrap w:val="0"/>
            <w:vAlign w:val="center"/>
          </w:tcPr>
          <w:p w14:paraId="6A7789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实现硬件设施与服务质量双提升</w:t>
            </w:r>
          </w:p>
        </w:tc>
        <w:tc>
          <w:tcPr>
            <w:tcW w:w="1269" w:type="dxa"/>
            <w:noWrap w:val="0"/>
            <w:vAlign w:val="center"/>
          </w:tcPr>
          <w:p w14:paraId="1127D4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实现硬件设施与服务质量双提升</w:t>
            </w:r>
          </w:p>
        </w:tc>
        <w:tc>
          <w:tcPr>
            <w:tcW w:w="716" w:type="dxa"/>
            <w:noWrap w:val="0"/>
            <w:vAlign w:val="center"/>
          </w:tcPr>
          <w:p w14:paraId="013556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6C93D4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4C1B63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BDE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FF7B3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874B6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4DD574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3F9DF9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持续开展“城管进社区”活动，提升社区人居环境</w:t>
            </w:r>
          </w:p>
        </w:tc>
        <w:tc>
          <w:tcPr>
            <w:tcW w:w="1311" w:type="dxa"/>
            <w:noWrap w:val="0"/>
            <w:vAlign w:val="center"/>
          </w:tcPr>
          <w:p w14:paraId="7F586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提升社区人居环境</w:t>
            </w:r>
          </w:p>
        </w:tc>
        <w:tc>
          <w:tcPr>
            <w:tcW w:w="1269" w:type="dxa"/>
            <w:noWrap w:val="0"/>
            <w:vAlign w:val="center"/>
          </w:tcPr>
          <w:p w14:paraId="2F6323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提升了社区人居环境</w:t>
            </w:r>
          </w:p>
        </w:tc>
        <w:tc>
          <w:tcPr>
            <w:tcW w:w="716" w:type="dxa"/>
            <w:noWrap w:val="0"/>
            <w:vAlign w:val="center"/>
          </w:tcPr>
          <w:p w14:paraId="6A12F0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7A289E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765D46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708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AB889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4718B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noWrap w:val="0"/>
            <w:vAlign w:val="center"/>
          </w:tcPr>
          <w:p w14:paraId="59B5E3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A5B11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持续完善城管行政审批流程</w:t>
            </w:r>
          </w:p>
        </w:tc>
        <w:tc>
          <w:tcPr>
            <w:tcW w:w="1311" w:type="dxa"/>
            <w:noWrap w:val="0"/>
            <w:vAlign w:val="center"/>
          </w:tcPr>
          <w:p w14:paraId="23115F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优化岳阳营商环境</w:t>
            </w:r>
          </w:p>
        </w:tc>
        <w:tc>
          <w:tcPr>
            <w:tcW w:w="1269" w:type="dxa"/>
            <w:noWrap w:val="0"/>
            <w:vAlign w:val="center"/>
          </w:tcPr>
          <w:p w14:paraId="37FC1B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有力优化了岳阳营商环境</w:t>
            </w:r>
          </w:p>
        </w:tc>
        <w:tc>
          <w:tcPr>
            <w:tcW w:w="716" w:type="dxa"/>
            <w:noWrap w:val="0"/>
            <w:vAlign w:val="center"/>
          </w:tcPr>
          <w:p w14:paraId="281E93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dxa"/>
            <w:noWrap w:val="0"/>
            <w:vAlign w:val="center"/>
          </w:tcPr>
          <w:p w14:paraId="7B23FB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46" w:type="dxa"/>
            <w:noWrap w:val="0"/>
            <w:vAlign w:val="center"/>
          </w:tcPr>
          <w:p w14:paraId="59E997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7F7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1BE0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91CA2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1AA113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A0972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noWrap w:val="0"/>
            <w:vAlign w:val="center"/>
          </w:tcPr>
          <w:p w14:paraId="6291DE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园林绿化更加优美</w:t>
            </w:r>
          </w:p>
        </w:tc>
        <w:tc>
          <w:tcPr>
            <w:tcW w:w="1311" w:type="dxa"/>
            <w:shd w:val="clear" w:color="auto" w:fill="auto"/>
            <w:noWrap w:val="0"/>
            <w:vAlign w:val="center"/>
          </w:tcPr>
          <w:p w14:paraId="26B78B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生态环境　</w:t>
            </w:r>
          </w:p>
        </w:tc>
        <w:tc>
          <w:tcPr>
            <w:tcW w:w="1269" w:type="dxa"/>
            <w:shd w:val="clear" w:color="auto" w:fill="auto"/>
            <w:noWrap w:val="0"/>
            <w:vAlign w:val="center"/>
          </w:tcPr>
          <w:p w14:paraId="2060EA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有效提升生态环境</w:t>
            </w:r>
          </w:p>
        </w:tc>
        <w:tc>
          <w:tcPr>
            <w:tcW w:w="716" w:type="dxa"/>
            <w:noWrap w:val="0"/>
            <w:vAlign w:val="center"/>
          </w:tcPr>
          <w:p w14:paraId="09AF59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73" w:type="dxa"/>
            <w:noWrap w:val="0"/>
            <w:vAlign w:val="center"/>
          </w:tcPr>
          <w:p w14:paraId="6C9107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46" w:type="dxa"/>
            <w:noWrap w:val="0"/>
            <w:vAlign w:val="center"/>
          </w:tcPr>
          <w:p w14:paraId="5F46C5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058B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01FF9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90F07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noWrap w:val="0"/>
            <w:vAlign w:val="center"/>
          </w:tcPr>
          <w:p w14:paraId="244F97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70" w:type="dxa"/>
            <w:noWrap w:val="0"/>
            <w:vAlign w:val="center"/>
          </w:tcPr>
          <w:p w14:paraId="64FE25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努力把岳阳管理成干干净净、整整齐齐、清清爽爽的城市</w:t>
            </w:r>
          </w:p>
        </w:tc>
        <w:tc>
          <w:tcPr>
            <w:tcW w:w="1311" w:type="dxa"/>
            <w:noWrap w:val="0"/>
            <w:vAlign w:val="center"/>
          </w:tcPr>
          <w:p w14:paraId="224529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有可持续影响</w:t>
            </w:r>
          </w:p>
        </w:tc>
        <w:tc>
          <w:tcPr>
            <w:tcW w:w="1269" w:type="dxa"/>
            <w:noWrap w:val="0"/>
            <w:vAlign w:val="center"/>
          </w:tcPr>
          <w:p w14:paraId="5595C5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具有可持续影响</w:t>
            </w:r>
          </w:p>
        </w:tc>
        <w:tc>
          <w:tcPr>
            <w:tcW w:w="716" w:type="dxa"/>
            <w:noWrap w:val="0"/>
            <w:vAlign w:val="center"/>
          </w:tcPr>
          <w:p w14:paraId="272C31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73" w:type="dxa"/>
            <w:noWrap w:val="0"/>
            <w:vAlign w:val="center"/>
          </w:tcPr>
          <w:p w14:paraId="5008A2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46" w:type="dxa"/>
            <w:noWrap w:val="0"/>
            <w:vAlign w:val="center"/>
          </w:tcPr>
          <w:p w14:paraId="7FF6C4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0D9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DA79E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F289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080930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1AFB19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34" w:type="dxa"/>
            <w:noWrap w:val="0"/>
            <w:vAlign w:val="center"/>
          </w:tcPr>
          <w:p w14:paraId="7B64A5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70" w:type="dxa"/>
            <w:noWrap w:val="0"/>
            <w:vAlign w:val="center"/>
          </w:tcPr>
          <w:p w14:paraId="1B3DA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群众满意度</w:t>
            </w:r>
          </w:p>
        </w:tc>
        <w:tc>
          <w:tcPr>
            <w:tcW w:w="1311" w:type="dxa"/>
            <w:noWrap w:val="0"/>
            <w:vAlign w:val="center"/>
          </w:tcPr>
          <w:p w14:paraId="2479F7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269" w:type="dxa"/>
            <w:noWrap w:val="0"/>
            <w:vAlign w:val="center"/>
          </w:tcPr>
          <w:p w14:paraId="3F4E77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98%</w:t>
            </w:r>
          </w:p>
        </w:tc>
        <w:tc>
          <w:tcPr>
            <w:tcW w:w="716" w:type="dxa"/>
            <w:noWrap w:val="0"/>
            <w:vAlign w:val="center"/>
          </w:tcPr>
          <w:p w14:paraId="631165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06A58B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noWrap w:val="0"/>
            <w:vAlign w:val="center"/>
          </w:tcPr>
          <w:p w14:paraId="622A51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0B2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4" w:type="dxa"/>
            <w:gridSpan w:val="6"/>
            <w:noWrap w:val="0"/>
            <w:vAlign w:val="center"/>
          </w:tcPr>
          <w:p w14:paraId="27EC13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16" w:type="dxa"/>
            <w:noWrap w:val="0"/>
            <w:vAlign w:val="center"/>
          </w:tcPr>
          <w:p w14:paraId="546402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3414A4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99.16</w:t>
            </w:r>
          </w:p>
        </w:tc>
        <w:tc>
          <w:tcPr>
            <w:tcW w:w="1446" w:type="dxa"/>
            <w:noWrap w:val="0"/>
            <w:vAlign w:val="center"/>
          </w:tcPr>
          <w:p w14:paraId="050A50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233ECACC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填报日期：         联系电话：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 w14:paraId="16FA7010">
      <w:r>
        <w:br w:type="page"/>
      </w:r>
    </w:p>
    <w:p w14:paraId="5EE727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</w:t>
      </w:r>
    </w:p>
    <w:p w14:paraId="4182F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6CF23A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716"/>
        <w:gridCol w:w="1140"/>
        <w:gridCol w:w="1380"/>
        <w:gridCol w:w="645"/>
        <w:gridCol w:w="735"/>
        <w:gridCol w:w="995"/>
      </w:tblGrid>
      <w:tr w14:paraId="2F731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50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4299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ED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日常工作经费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5A7C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4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F9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281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3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D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</w:tr>
      <w:tr w14:paraId="74B8E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EA6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C1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17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6797E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BD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1542F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3F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33D38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F8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D7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C5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64725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DC4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D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FD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B9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123.72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7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4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B7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7D83B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3AF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E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A15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1F1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46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123.72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D4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B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80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C788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9F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67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39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27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F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B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E9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34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2936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0E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F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DA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51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59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B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45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75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1F5A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955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C9F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F0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3F22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DC9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D7B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市中心城区建成区垃圾收运比例达到100%，全市城镇已收运生活垃圾无害化处理率达到100%。2.市中心城区无破损、陈旧、存在安全隐患的户外广告，无未经审批设立的户外广告。3.完成《岳阳市地下管线管理条例》的立法调研，形成调研报告。4.开展安全宣传教育培训活动，组织安全技能比赛，开展安全隐患排查；组织应急预案演练；举办特色活动。5.全面规范燃气工程建设管理，认真抓好燃气隐患排查治理，继续开展燃气安全专项整治，提升燃气事故应急处置水平，抓好燃气做作业人员培训教育。6.城市管理工作得到广大市民的理解和支持，形成城市共治共享的良好氛围，进一步提升城管形象。7.负责城管行政执法、风景园林、卫生、市政道路、城市路灯、城市燃气、渣土道路破占、户外广告、城区限炮、火车站广场、高铁站广场等行政执法工作。8.广泛开展禁炮宣传，营造浓厚的禁炮氛围，在新闻媒体上广泛宣传、向市民群众广泛宣传、向市民群众群发禁炮短信、组织车队巡回宣传、电子屏播放禁炮公益广告等。9.提升道路通行质量，使市民走得通畅、走得安全。主要工作是督促相关部门加强城区道路日常维护、人行道提质改造、排水管道清淤、窨井设施维修等。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43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市中心城区建成区垃圾收运比例达到100%，全市城镇已收运生活垃圾无害化处理率达到100%。2.确保了城区无破损、陈旧、存在安全隐患的户外广告，无未经审批设立的户外广告。3.完成了《岳阳市地下管线管理条例》的立法调研，形成调研报告。4.开展了两次安全宣传教育培训活动，组织了一次安全技能比赛，开展了4次全隐患排查。5.积极开展了燃气隐患排查治理和燃气安全专项整治。6.城市管理工作得到了广大市民的理解和支持，形成了城市共治共享的良好氛围，进一步提升了城管形象。7.负责城管行政执法、风景园林、卫生、市政道路、城市路灯、城市燃气、渣土道路破占、户外广告、城区限炮、火车站广场、高铁站广场等行政执法工作。8.进行了一次禁炮宣传，完成了新闻媒体宣传、向市民群众群发禁炮短信、组织车队巡回宣传、电子屏播放禁炮公益广告等工作。9.积极督促相关部门加强城区道路日常维护、人行道提质改造、排水管道清淤、窨井设施维修等。</w:t>
            </w:r>
          </w:p>
        </w:tc>
      </w:tr>
      <w:tr w14:paraId="5D90B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9D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03C55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1FDE8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6496B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8A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D4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DF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6F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15EFC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B8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10D3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FC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96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A1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3F5E8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6D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415F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45D76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F1C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1B46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EE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开展安全宣传教育培训活动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FD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5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C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EA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FAE4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BD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056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090E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79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组织安全技能比赛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B5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1次/100人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6C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1C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C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B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7972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87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6BC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789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63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开展安全隐患排查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9E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18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03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27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A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AC6A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97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0A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F1D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8C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组织应急预案演练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C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1次/100人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CA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A4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9C20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6D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FEB4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B5F4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9B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举办特色活动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4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1次/50人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F8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49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3B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2B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317F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E3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72E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680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C7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禁止燃放烟花炮竹中心城区范围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49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全市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9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全市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E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A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5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B04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4E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5AB7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5679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ED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开展禁炮宣传媒体宣传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2C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报纸32次/年，电视台全年播放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67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32次/年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EE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B6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0B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0F1D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1B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956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5638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9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向市民群发禁炮短信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CE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600000条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B0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600000条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9A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3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F9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E0A4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4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16D1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E4A2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BF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配合城管支队禁炮执法、垃圾倾倒、户外违规广告牌、打击毁绿等专项整治行动。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C1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为期三个月，配合城管支队专项整治行动三次。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B1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三个月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E2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3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A2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AF17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44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8DF3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E7A1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61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协助燃气执法保障，打击偷盗气、破坏燃气管道专项行动。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0F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打击城市偷盗燃气现象。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F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有力打击了城市偷盗燃气现象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6B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C6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C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B6BC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4C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B5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9684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11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完成整治区域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5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大型广告：全市中心城区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0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全市中心城区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0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E6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F0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7711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CB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5B1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9439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26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拆除户外广告数量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B3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400个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3F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400个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6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14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F4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D7D8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F3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49C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1830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0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开展燃气安全隐患专项整治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EE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1次／年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70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F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A4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78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98FC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D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3238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06A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FA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燃气隐患排查治理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93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36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28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CD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D0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778D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05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3B65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CF51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A7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燃气从业人员培训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CB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C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300人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6A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E8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33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7CB3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8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8CC4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2C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发放城市管理各类宣传资料。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74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100000份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6B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100000份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D4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7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F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709C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0A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C432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632E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9F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方位开展《中华人民共和国安全生产法》《岳阳市扬尘管理条例》《岳阳市燃气管理办法》《岳阳市绿线管理办法》《岳阳市生活垃圾分类管理办法》《岳阳市机动车停车条例》《岳阳市文明促进条例》等城市管理行业法律法规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7C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24次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82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24次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3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1C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53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4163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75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4D6D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2430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D0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签订立法服务合同；完成立法草案送审稿、起草说明、依据对照表、注释稿、相关参阅资料等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2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共1套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B4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4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3B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1A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5E6B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83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1647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2FA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CB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完成城区主要道路维护和管理。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8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7条道路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A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7条道路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B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69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66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C762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6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1CA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5A47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9E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人行道海绵化提质改造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E8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3条人行道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B7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3条人行道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D8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25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7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A7F5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4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A89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7B75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59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窨井设施维修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FB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7处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67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7处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06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90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8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A6EC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AD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8109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2EA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6D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确保年度燃气稳定供应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E3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2.7亿立方米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29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2.7亿立方米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9B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6F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44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BBC5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76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9FB1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B889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E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服务燃气用户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B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157.16万户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1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157.16万户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9C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B3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A7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0296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71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1706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BFC2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89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组织车队巡回宣传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B7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4台15天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72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4台15天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AF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55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0F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7F93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BA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EFE2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C6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22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完成地下管线管理的立法并报市政府常务会议审议通过后实施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F4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共1个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5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共1个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86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75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C4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9699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17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E4C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FD06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A4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垃圾处理设施运行正常化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99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正常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CF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确保了正常运行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C0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59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3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DA82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B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C084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13FE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F5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道路维护质量合格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7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符合相关标准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28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符合相关标准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9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C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68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ACB7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7C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8E8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661C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BB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人行道海绵化提质合格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8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符合相关标准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76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符合相关标准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DB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C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70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93F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9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5CFF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B427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1B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损坏的窨井设施及时维修，质量合格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48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不发生安全事故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0A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未发生安全事故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5C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0D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5C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9854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BD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3C45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EDD8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BE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燃气安全事故预防效果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全年不出现较大的燃气人员伤亡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D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全年未出现较大的燃气人员伤亡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3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72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59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A16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32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B73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4684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0D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燃气设施建设安全保障程度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30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燃气设施建设安全达标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3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燃气设施建设安全达标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DB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81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C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357E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79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63AA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4041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E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宣传工作覆盖率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40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02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B8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E7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9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EA8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C6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8E1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FC53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63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执法水平提高程度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C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秉公执法、文明执法、无较重大投诉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DD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秉公执法、文明执法、无较重大投诉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B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7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5C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D865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2E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24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EEE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76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执法合规合法性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F2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不出现违规违法行为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BD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无违规违法行为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2B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9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22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EA00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3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FAAD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782F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B1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通过相关部门验收合格率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62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E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72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E1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3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F181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5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8C1E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97B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D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无安全隐患户外广告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33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全年不出现安全事故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87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全年未出现安全事故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C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05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F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B0EC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D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A1E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566D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99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合规设立户外广告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85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均经相关审批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DE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均经相关审批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7C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CF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F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0EE4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B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23D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90D2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EB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重大活动保障率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D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D7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55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4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10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23A6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F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BCFD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A995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C3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开展安全隐患排查整改率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55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13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4E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E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7AA3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B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F06E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D33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06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无害化处理符合行业相关标准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E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01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A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A8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0F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F48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3E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6F60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A9B0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0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污染物排放、气体排放符合环保标准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53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符合环保标准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62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符合环保标准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4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19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FC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D665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B0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029B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6B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6B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预防和控制事故发生效果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C1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比同期减少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14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比同期减少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D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A8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5608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7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DDB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E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EA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各个区基本无燃放烟花炮竹实施情况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EB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34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24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9B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B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617C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6A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8FD0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5D65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A5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及时出警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A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做到及时出警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95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完成及时出警要求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0C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B3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D4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759A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9A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AC48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E8EB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FC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及时完成工作任务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D0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2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全年及时完成工作任务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E5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3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4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67D3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D3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39C3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54C9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43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在规定的时间节点完成项目的立法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7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在2025年年底之前完成立法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B6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在2025年年底之前初步完成立法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E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2D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02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EEA5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98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5941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8C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70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按时完成城区主要道路的维护工作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55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已按时完成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7F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6B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0.50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14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542A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94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F9DD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37B5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CF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项目年支出金额不超过预算金额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8C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不超过125万元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6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123.72万元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2C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7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6D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9935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F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620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1C6F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6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33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45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4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38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F1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CA23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D2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6A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AF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F8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对自然生态环境造成负面影响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FA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82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60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D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D3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795D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C1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5486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516C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274B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2F9E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C40A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32B91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6C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提高城镇、农村生活垃圾无害化处理水平，减少政府环境整治经费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有效提高城乡生活垃圾无害化处理水平，减少了政府环境整治经费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4C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有效提高城乡生活垃圾无害化处理水平，减少了政府环境整治经费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C9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67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9A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C631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8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BEA8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6E0D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6A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提升居民幸福指数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0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65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有效提升了群众满意度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5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4E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F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A43A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3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9843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2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61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安全生产，减少损失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26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4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5D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9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9A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EB10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34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B960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62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7AAE6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7D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增强市民群众对城市管理部门的认知，增强市民群众对城市管理工作的理解和支持。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89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有效增强市民群众对城市管理部门的认知、理解和支持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D9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有效增强了市民群众对城市管理部门的认知、理解和支持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76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F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30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C259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35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2EC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E943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DA2B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C5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防止空气污染，减少垃圾改善城市人居环境。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74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有效改善城市人居环境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98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有效改善了城市人居环境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9D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AC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3246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B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C22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BACB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AF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压实管线建设和管理单位责任，明确占道挖掘的审批程序和禁止挖掘道路的情形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0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确保我市地下管线管理有法可依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2E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实现我市地下管线管理有法可依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9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8F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0AD9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7B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7B95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5A5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D4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美化城市居民生活环境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63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打造安全美丽岳阳道路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91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打造安全美丽岳阳道路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57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D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22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25D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00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0E63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7C7B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EA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社会文明程度提高，人人爱护环境、保护环境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09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社会文明程度提高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77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社会文明程度有所提高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5C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6B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B8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1751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06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E578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2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6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广告环境、社会环境、文化氛围更浓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0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广告环境、社会环境变得更加干净、整洁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0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广告环境、社会环境变得更加干净、整洁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2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C9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2C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9665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D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DA81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81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5B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进一步提高城市管理水平，确保城市管理执法工作顺利有序开展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6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C7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D9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CE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83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E326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7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852D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9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0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持续性保持户外广告合规性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AA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F1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5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A7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0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AFAD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7E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199B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B3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CC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提高市民安全、卫生意识，全民禁炮。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25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38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有可持续影响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53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E3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A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CB40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ED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8FD6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EF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DC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为畅通城市“生命线”、补齐城市建设短板、改善人居环境、提升城市品质提供法治保障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C6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制定专门规范城市地下管线管理的地方性法规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43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制定了专门规范城市地下管线管理的地方性法规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78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E9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0193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FA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D1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43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AB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实行信息化管理，提高科技含量。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A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安全、可持续性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6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具有安全、可持续性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6C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72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05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B7B2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81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DC10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06938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0FE1F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4409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F4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受益对象满意度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E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68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82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5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9D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616D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327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C8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AD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2A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6A44F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4E55FF4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76A7E0EF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1B573F12">
      <w:r>
        <w:br w:type="page"/>
      </w:r>
    </w:p>
    <w:p w14:paraId="06E112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3-2</w:t>
      </w:r>
    </w:p>
    <w:p w14:paraId="4F9C258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25"/>
        <w:gridCol w:w="1095"/>
        <w:gridCol w:w="1860"/>
        <w:gridCol w:w="1065"/>
        <w:gridCol w:w="1185"/>
        <w:gridCol w:w="675"/>
        <w:gridCol w:w="915"/>
        <w:gridCol w:w="1130"/>
      </w:tblGrid>
      <w:tr w14:paraId="29C85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A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7F739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8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非税执收经费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4C2C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A8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23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79A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99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</w:p>
        </w:tc>
      </w:tr>
      <w:tr w14:paraId="3D861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75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9D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E8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33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C7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D9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1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3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EA1B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02D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B3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FF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50.5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89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50.5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D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61.68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57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756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112%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6A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0A609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5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1E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7D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0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77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C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9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1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EABB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4AF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33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9D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18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22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88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C0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C9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303C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A67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A0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4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50.5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6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50.5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0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61.68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6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AB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57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9FC2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B92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563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9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A5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0134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8B4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E64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保障局机关中心工作（城管秩序、环境卫生、园林绿化、市政设施维护、路灯、燃气、停车管理及渣土运输等日常管理工作）、主城区防汛排涝、渍水整治和其他重大城市管理工作任务顺利开展和完成。</w:t>
            </w:r>
          </w:p>
        </w:tc>
        <w:tc>
          <w:tcPr>
            <w:tcW w:w="39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AA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顺利保障了局机关工作（城管秩序、环境卫生、园林绿化、市政设施维护、路灯、燃气、停车管理及渣土运输等日常管理工作）、主城区防汛排涝、渍水整治和其他重大城市管理工作任务顺利开展和完成。</w:t>
            </w:r>
          </w:p>
        </w:tc>
      </w:tr>
      <w:tr w14:paraId="173F6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B7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D40E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49B5A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7F91B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62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C6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C4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E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1D3EF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73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39A1B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AE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B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29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69403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5F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B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产出指标(50分)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17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3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完成全年非税收入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F5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50.5万元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D8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61.68万元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C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7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27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E665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A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0B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1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6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征收率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4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CA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B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7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E882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4F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07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2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6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年度内完成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4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2025/12/31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75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全年按时完成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02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7E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7C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A987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D6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20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2A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0A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按成本率核算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9E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按成本率核算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7E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按成本率核算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F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BE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E0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C267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0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F1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4B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28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C8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FD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10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C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BA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35FF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56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62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E0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28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对自然环境可能造成的负面影响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A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9F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9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1F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E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5897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A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5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效益指标（30分）</w:t>
            </w:r>
          </w:p>
          <w:p w14:paraId="5BADD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AD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721B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8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促进岳阳经济发展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3F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经济平稳发展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B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经济平稳发展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D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B0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58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F07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8D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2F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A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418C2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91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保障城市管理工作日常开展维护良好社会秩序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有所提升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AA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有所提升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F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DB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02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4C07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53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5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1C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5B56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CF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生态居住环境改善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C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3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7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0C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CE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485C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E9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C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9B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FE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保障非税收入上缴，保障城市管理工作任务顺利完成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C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保障城管工作顺利完成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3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有效保障了城管工作顺利完成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20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9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BA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97B4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16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4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5C3E1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0AE2E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10分）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CA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AC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AF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E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2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B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10.00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A3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B7C9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253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08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36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C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275ECBD3"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33E5A941">
      <w:pPr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br w:type="page"/>
      </w:r>
    </w:p>
    <w:p w14:paraId="0E0D2D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3-3</w:t>
      </w:r>
    </w:p>
    <w:p w14:paraId="7F069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3D98A0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97"/>
        <w:gridCol w:w="1071"/>
        <w:gridCol w:w="879"/>
        <w:gridCol w:w="822"/>
        <w:gridCol w:w="1418"/>
      </w:tblGrid>
      <w:tr w14:paraId="5142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50CEE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4BFBF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20A1C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企业军转干部补助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D60F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75440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81" w:type="dxa"/>
            <w:gridSpan w:val="4"/>
            <w:noWrap w:val="0"/>
            <w:vAlign w:val="center"/>
          </w:tcPr>
          <w:p w14:paraId="2EC71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71" w:type="dxa"/>
            <w:noWrap w:val="0"/>
            <w:vAlign w:val="center"/>
          </w:tcPr>
          <w:p w14:paraId="5E107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5F161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</w:tr>
      <w:tr w14:paraId="589F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C0F4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7760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noWrap w:val="0"/>
            <w:vAlign w:val="center"/>
          </w:tcPr>
          <w:p w14:paraId="14D50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19175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97" w:type="dxa"/>
            <w:noWrap w:val="0"/>
            <w:vAlign w:val="center"/>
          </w:tcPr>
          <w:p w14:paraId="26846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78C41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71" w:type="dxa"/>
            <w:noWrap w:val="0"/>
            <w:vAlign w:val="center"/>
          </w:tcPr>
          <w:p w14:paraId="0B493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0CDD7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79" w:type="dxa"/>
            <w:noWrap w:val="0"/>
            <w:vAlign w:val="center"/>
          </w:tcPr>
          <w:p w14:paraId="6DAAD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2" w:type="dxa"/>
            <w:noWrap w:val="0"/>
            <w:vAlign w:val="center"/>
          </w:tcPr>
          <w:p w14:paraId="62222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19E0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9767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55FE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447E2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noWrap w:val="0"/>
            <w:vAlign w:val="center"/>
          </w:tcPr>
          <w:p w14:paraId="502CE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1197" w:type="dxa"/>
            <w:noWrap w:val="0"/>
            <w:vAlign w:val="center"/>
          </w:tcPr>
          <w:p w14:paraId="2CF57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1071" w:type="dxa"/>
            <w:noWrap w:val="0"/>
            <w:vAlign w:val="center"/>
          </w:tcPr>
          <w:p w14:paraId="492FA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879" w:type="dxa"/>
            <w:noWrap w:val="0"/>
            <w:vAlign w:val="center"/>
          </w:tcPr>
          <w:p w14:paraId="7EC76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22" w:type="dxa"/>
            <w:noWrap w:val="0"/>
            <w:vAlign w:val="center"/>
          </w:tcPr>
          <w:p w14:paraId="683F7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AF5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40090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DD1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080B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shd w:val="clear" w:color="auto" w:fill="auto"/>
            <w:noWrap w:val="0"/>
            <w:vAlign w:val="center"/>
          </w:tcPr>
          <w:p w14:paraId="4D78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1197" w:type="dxa"/>
            <w:shd w:val="clear" w:color="auto" w:fill="auto"/>
            <w:noWrap w:val="0"/>
            <w:vAlign w:val="center"/>
          </w:tcPr>
          <w:p w14:paraId="74907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1071" w:type="dxa"/>
            <w:shd w:val="clear" w:color="auto" w:fill="auto"/>
            <w:noWrap w:val="0"/>
            <w:vAlign w:val="center"/>
          </w:tcPr>
          <w:p w14:paraId="41066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</w:t>
            </w:r>
          </w:p>
        </w:tc>
        <w:tc>
          <w:tcPr>
            <w:tcW w:w="879" w:type="dxa"/>
            <w:noWrap w:val="0"/>
            <w:vAlign w:val="center"/>
          </w:tcPr>
          <w:p w14:paraId="22BD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2" w:type="dxa"/>
            <w:noWrap w:val="0"/>
            <w:vAlign w:val="center"/>
          </w:tcPr>
          <w:p w14:paraId="6B442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6C4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E7A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1576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44B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noWrap w:val="0"/>
            <w:vAlign w:val="center"/>
          </w:tcPr>
          <w:p w14:paraId="209F7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97" w:type="dxa"/>
            <w:noWrap w:val="0"/>
            <w:vAlign w:val="center"/>
          </w:tcPr>
          <w:p w14:paraId="160A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71" w:type="dxa"/>
            <w:noWrap w:val="0"/>
            <w:vAlign w:val="center"/>
          </w:tcPr>
          <w:p w14:paraId="2CC48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9" w:type="dxa"/>
            <w:noWrap w:val="0"/>
            <w:vAlign w:val="center"/>
          </w:tcPr>
          <w:p w14:paraId="79207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2" w:type="dxa"/>
            <w:noWrap w:val="0"/>
            <w:vAlign w:val="center"/>
          </w:tcPr>
          <w:p w14:paraId="6CF92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1B7B7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545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079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6A18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noWrap w:val="0"/>
            <w:vAlign w:val="center"/>
          </w:tcPr>
          <w:p w14:paraId="69EC1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97" w:type="dxa"/>
            <w:noWrap w:val="0"/>
            <w:vAlign w:val="center"/>
          </w:tcPr>
          <w:p w14:paraId="16245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71" w:type="dxa"/>
            <w:noWrap w:val="0"/>
            <w:vAlign w:val="center"/>
          </w:tcPr>
          <w:p w14:paraId="61B8D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9" w:type="dxa"/>
            <w:noWrap w:val="0"/>
            <w:vAlign w:val="center"/>
          </w:tcPr>
          <w:p w14:paraId="4F6FC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2" w:type="dxa"/>
            <w:noWrap w:val="0"/>
            <w:vAlign w:val="center"/>
          </w:tcPr>
          <w:p w14:paraId="22F8A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BA6B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86E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16D3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81" w:type="dxa"/>
            <w:gridSpan w:val="4"/>
            <w:noWrap w:val="0"/>
            <w:vAlign w:val="center"/>
          </w:tcPr>
          <w:p w14:paraId="406FC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190" w:type="dxa"/>
            <w:gridSpan w:val="4"/>
            <w:noWrap w:val="0"/>
            <w:vAlign w:val="center"/>
          </w:tcPr>
          <w:p w14:paraId="5FFDF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22E1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8CFF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81" w:type="dxa"/>
            <w:gridSpan w:val="4"/>
            <w:noWrap w:val="0"/>
            <w:vAlign w:val="center"/>
          </w:tcPr>
          <w:p w14:paraId="07F3D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按社保科下达标准发放困难企业军转干部补助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190" w:type="dxa"/>
            <w:gridSpan w:val="4"/>
            <w:noWrap w:val="0"/>
            <w:vAlign w:val="center"/>
          </w:tcPr>
          <w:p w14:paraId="1EDCD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按社保科下达标准完成困难企业军转干部补助发放工作</w:t>
            </w:r>
          </w:p>
        </w:tc>
      </w:tr>
      <w:tr w14:paraId="53C9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0A2C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60884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3DAAA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1C2A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4380B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71676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noWrap w:val="0"/>
            <w:vAlign w:val="center"/>
          </w:tcPr>
          <w:p w14:paraId="337AB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97" w:type="dxa"/>
            <w:noWrap w:val="0"/>
            <w:vAlign w:val="center"/>
          </w:tcPr>
          <w:p w14:paraId="4E2D4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0E7F8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071" w:type="dxa"/>
            <w:noWrap w:val="0"/>
            <w:vAlign w:val="center"/>
          </w:tcPr>
          <w:p w14:paraId="2BE7C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26507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79" w:type="dxa"/>
            <w:noWrap w:val="0"/>
            <w:vAlign w:val="center"/>
          </w:tcPr>
          <w:p w14:paraId="1E02E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2" w:type="dxa"/>
            <w:noWrap w:val="0"/>
            <w:vAlign w:val="center"/>
          </w:tcPr>
          <w:p w14:paraId="4A12C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38A90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A82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EA71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CCDE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0.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  <w:p w14:paraId="7A86D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72B6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noWrap w:val="0"/>
            <w:vAlign w:val="center"/>
          </w:tcPr>
          <w:p w14:paraId="4873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noWrap w:val="0"/>
            <w:vAlign w:val="center"/>
          </w:tcPr>
          <w:p w14:paraId="53652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困难企业军转干部人数</w:t>
            </w:r>
          </w:p>
        </w:tc>
        <w:tc>
          <w:tcPr>
            <w:tcW w:w="1197" w:type="dxa"/>
            <w:noWrap w:val="0"/>
            <w:vAlign w:val="center"/>
          </w:tcPr>
          <w:p w14:paraId="73EF7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5人</w:t>
            </w:r>
          </w:p>
        </w:tc>
        <w:tc>
          <w:tcPr>
            <w:tcW w:w="1071" w:type="dxa"/>
            <w:noWrap w:val="0"/>
            <w:vAlign w:val="center"/>
          </w:tcPr>
          <w:p w14:paraId="289E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5人</w:t>
            </w:r>
          </w:p>
        </w:tc>
        <w:tc>
          <w:tcPr>
            <w:tcW w:w="879" w:type="dxa"/>
            <w:noWrap w:val="0"/>
            <w:vAlign w:val="center"/>
          </w:tcPr>
          <w:p w14:paraId="53B84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22" w:type="dxa"/>
            <w:noWrap w:val="0"/>
            <w:vAlign w:val="center"/>
          </w:tcPr>
          <w:p w14:paraId="57AC4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45945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894A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9672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F896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6E8B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noWrap w:val="0"/>
            <w:vAlign w:val="center"/>
          </w:tcPr>
          <w:p w14:paraId="3B5AA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按社保科下达指标足额发放完成</w:t>
            </w:r>
          </w:p>
        </w:tc>
        <w:tc>
          <w:tcPr>
            <w:tcW w:w="1197" w:type="dxa"/>
            <w:noWrap w:val="0"/>
            <w:vAlign w:val="center"/>
          </w:tcPr>
          <w:p w14:paraId="37381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按社保科下达指标发放完成</w:t>
            </w:r>
          </w:p>
        </w:tc>
        <w:tc>
          <w:tcPr>
            <w:tcW w:w="1071" w:type="dxa"/>
            <w:noWrap w:val="0"/>
            <w:vAlign w:val="center"/>
          </w:tcPr>
          <w:p w14:paraId="42855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按社保科下达指标发放完成</w:t>
            </w:r>
          </w:p>
        </w:tc>
        <w:tc>
          <w:tcPr>
            <w:tcW w:w="879" w:type="dxa"/>
            <w:noWrap w:val="0"/>
            <w:vAlign w:val="center"/>
          </w:tcPr>
          <w:p w14:paraId="67966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22" w:type="dxa"/>
            <w:noWrap w:val="0"/>
            <w:vAlign w:val="center"/>
          </w:tcPr>
          <w:p w14:paraId="6BC0A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14241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F3C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FA2C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1E70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CCCD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noWrap w:val="0"/>
            <w:vAlign w:val="center"/>
          </w:tcPr>
          <w:p w14:paraId="25677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1197" w:type="dxa"/>
            <w:noWrap w:val="0"/>
            <w:vAlign w:val="center"/>
          </w:tcPr>
          <w:p w14:paraId="4A8E1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1071" w:type="dxa"/>
            <w:noWrap w:val="0"/>
            <w:vAlign w:val="center"/>
          </w:tcPr>
          <w:p w14:paraId="509FE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879" w:type="dxa"/>
            <w:noWrap w:val="0"/>
            <w:vAlign w:val="center"/>
          </w:tcPr>
          <w:p w14:paraId="69E2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22" w:type="dxa"/>
            <w:noWrap w:val="0"/>
            <w:vAlign w:val="center"/>
          </w:tcPr>
          <w:p w14:paraId="55AFD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65058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6AD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977A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AAE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6F17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noWrap w:val="0"/>
            <w:vAlign w:val="center"/>
          </w:tcPr>
          <w:p w14:paraId="12A8E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控制在预算内</w:t>
            </w:r>
          </w:p>
        </w:tc>
        <w:tc>
          <w:tcPr>
            <w:tcW w:w="1197" w:type="dxa"/>
            <w:noWrap w:val="0"/>
            <w:vAlign w:val="center"/>
          </w:tcPr>
          <w:p w14:paraId="1CAFF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≤0.89万元</w:t>
            </w:r>
          </w:p>
        </w:tc>
        <w:tc>
          <w:tcPr>
            <w:tcW w:w="1071" w:type="dxa"/>
            <w:noWrap w:val="0"/>
            <w:vAlign w:val="center"/>
          </w:tcPr>
          <w:p w14:paraId="63DA9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0.89万元</w:t>
            </w:r>
          </w:p>
        </w:tc>
        <w:tc>
          <w:tcPr>
            <w:tcW w:w="879" w:type="dxa"/>
            <w:noWrap w:val="0"/>
            <w:vAlign w:val="center"/>
          </w:tcPr>
          <w:p w14:paraId="116C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2" w:type="dxa"/>
            <w:noWrap w:val="0"/>
            <w:vAlign w:val="center"/>
          </w:tcPr>
          <w:p w14:paraId="28BD4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1CBE6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282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014C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EF67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851B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68DE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197" w:type="dxa"/>
            <w:noWrap w:val="0"/>
            <w:vAlign w:val="center"/>
          </w:tcPr>
          <w:p w14:paraId="47B27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071" w:type="dxa"/>
            <w:noWrap w:val="0"/>
            <w:vAlign w:val="center"/>
          </w:tcPr>
          <w:p w14:paraId="7FA83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79" w:type="dxa"/>
            <w:noWrap w:val="0"/>
            <w:vAlign w:val="center"/>
          </w:tcPr>
          <w:p w14:paraId="797BD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2" w:type="dxa"/>
            <w:noWrap w:val="0"/>
            <w:vAlign w:val="center"/>
          </w:tcPr>
          <w:p w14:paraId="5A9F4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0B796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9211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F020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56CB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79CA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15C7D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对自然环境可能造成的负面影响</w:t>
            </w:r>
          </w:p>
        </w:tc>
        <w:tc>
          <w:tcPr>
            <w:tcW w:w="1197" w:type="dxa"/>
            <w:noWrap w:val="0"/>
            <w:vAlign w:val="center"/>
          </w:tcPr>
          <w:p w14:paraId="7641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071" w:type="dxa"/>
            <w:noWrap w:val="0"/>
            <w:vAlign w:val="center"/>
          </w:tcPr>
          <w:p w14:paraId="253FD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79" w:type="dxa"/>
            <w:noWrap w:val="0"/>
            <w:vAlign w:val="center"/>
          </w:tcPr>
          <w:p w14:paraId="1B1BE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2" w:type="dxa"/>
            <w:noWrap w:val="0"/>
            <w:vAlign w:val="center"/>
          </w:tcPr>
          <w:p w14:paraId="48A98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365BE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52D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247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F904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A19E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6DB9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7F4F8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noWrap w:val="0"/>
            <w:vAlign w:val="center"/>
          </w:tcPr>
          <w:p w14:paraId="436B1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C289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222AB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197" w:type="dxa"/>
            <w:noWrap w:val="0"/>
            <w:vAlign w:val="center"/>
          </w:tcPr>
          <w:p w14:paraId="2294F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071" w:type="dxa"/>
            <w:noWrap w:val="0"/>
            <w:vAlign w:val="center"/>
          </w:tcPr>
          <w:p w14:paraId="4D65C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879" w:type="dxa"/>
            <w:noWrap w:val="0"/>
            <w:vAlign w:val="center"/>
          </w:tcPr>
          <w:p w14:paraId="1208D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2" w:type="dxa"/>
            <w:noWrap w:val="0"/>
            <w:vAlign w:val="center"/>
          </w:tcPr>
          <w:p w14:paraId="453D4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032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CB8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800C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5917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1A2D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37369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2FEF5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1197" w:type="dxa"/>
            <w:noWrap w:val="0"/>
            <w:vAlign w:val="center"/>
          </w:tcPr>
          <w:p w14:paraId="74931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1071" w:type="dxa"/>
            <w:noWrap w:val="0"/>
            <w:vAlign w:val="center"/>
          </w:tcPr>
          <w:p w14:paraId="411FA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879" w:type="dxa"/>
            <w:noWrap w:val="0"/>
            <w:vAlign w:val="center"/>
          </w:tcPr>
          <w:p w14:paraId="0EF90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2" w:type="dxa"/>
            <w:noWrap w:val="0"/>
            <w:vAlign w:val="center"/>
          </w:tcPr>
          <w:p w14:paraId="39304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9982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5F4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9EEB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75F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05C4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33AAD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1E7DE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1197" w:type="dxa"/>
            <w:noWrap w:val="0"/>
            <w:vAlign w:val="center"/>
          </w:tcPr>
          <w:p w14:paraId="250C6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1071" w:type="dxa"/>
            <w:noWrap w:val="0"/>
            <w:vAlign w:val="center"/>
          </w:tcPr>
          <w:p w14:paraId="567A6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879" w:type="dxa"/>
            <w:noWrap w:val="0"/>
            <w:vAlign w:val="center"/>
          </w:tcPr>
          <w:p w14:paraId="6D689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22" w:type="dxa"/>
            <w:noWrap w:val="0"/>
            <w:vAlign w:val="center"/>
          </w:tcPr>
          <w:p w14:paraId="59F18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noWrap w:val="0"/>
            <w:vAlign w:val="center"/>
          </w:tcPr>
          <w:p w14:paraId="30712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73D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597E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8AB6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0810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noWrap w:val="0"/>
            <w:vAlign w:val="center"/>
          </w:tcPr>
          <w:p w14:paraId="4FDEF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1197" w:type="dxa"/>
            <w:noWrap w:val="0"/>
            <w:vAlign w:val="center"/>
          </w:tcPr>
          <w:p w14:paraId="67DC8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1071" w:type="dxa"/>
            <w:noWrap w:val="0"/>
            <w:vAlign w:val="center"/>
          </w:tcPr>
          <w:p w14:paraId="6AC3C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879" w:type="dxa"/>
            <w:noWrap w:val="0"/>
            <w:vAlign w:val="center"/>
          </w:tcPr>
          <w:p w14:paraId="2CB67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2" w:type="dxa"/>
            <w:noWrap w:val="0"/>
            <w:vAlign w:val="center"/>
          </w:tcPr>
          <w:p w14:paraId="6EBE7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31C7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5B0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74C1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6EC9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1BBC3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6FBBA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noWrap w:val="0"/>
            <w:vAlign w:val="center"/>
          </w:tcPr>
          <w:p w14:paraId="4EC76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noWrap w:val="0"/>
            <w:vAlign w:val="center"/>
          </w:tcPr>
          <w:p w14:paraId="210B8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群众满意度</w:t>
            </w:r>
          </w:p>
        </w:tc>
        <w:tc>
          <w:tcPr>
            <w:tcW w:w="1197" w:type="dxa"/>
            <w:noWrap w:val="0"/>
            <w:vAlign w:val="center"/>
          </w:tcPr>
          <w:p w14:paraId="1A110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071" w:type="dxa"/>
            <w:noWrap w:val="0"/>
            <w:vAlign w:val="center"/>
          </w:tcPr>
          <w:p w14:paraId="08D21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879" w:type="dxa"/>
            <w:noWrap w:val="0"/>
            <w:vAlign w:val="center"/>
          </w:tcPr>
          <w:p w14:paraId="42870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2" w:type="dxa"/>
            <w:noWrap w:val="0"/>
            <w:vAlign w:val="center"/>
          </w:tcPr>
          <w:p w14:paraId="785D5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E7FC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BB3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7C73B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79" w:type="dxa"/>
            <w:noWrap w:val="0"/>
            <w:vAlign w:val="center"/>
          </w:tcPr>
          <w:p w14:paraId="25586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22" w:type="dxa"/>
            <w:noWrap w:val="0"/>
            <w:vAlign w:val="center"/>
          </w:tcPr>
          <w:p w14:paraId="38FE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672A0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C1D2C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4AE889C9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>8857572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780C62CA">
      <w:r>
        <w:br w:type="page"/>
      </w:r>
    </w:p>
    <w:p w14:paraId="0D633A4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3-4</w:t>
      </w:r>
    </w:p>
    <w:p w14:paraId="22C3AF5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746"/>
        <w:gridCol w:w="960"/>
        <w:gridCol w:w="1245"/>
        <w:gridCol w:w="795"/>
        <w:gridCol w:w="820"/>
        <w:gridCol w:w="1045"/>
      </w:tblGrid>
      <w:tr w14:paraId="51849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2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79A64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B0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生活垃圾分类、城市管理考评专项经费</w:t>
            </w:r>
          </w:p>
        </w:tc>
      </w:tr>
      <w:tr w14:paraId="522C9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38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8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00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E3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4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</w:p>
        </w:tc>
      </w:tr>
      <w:tr w14:paraId="5F3C2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774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B8FBD"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A9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37EF6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96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08A09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A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0F3E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5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C0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4F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CB06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75C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C2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19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C9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0B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04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EF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8A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75%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1C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7.5</w:t>
            </w:r>
          </w:p>
        </w:tc>
      </w:tr>
      <w:tr w14:paraId="512EB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0F9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44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EB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150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57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2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04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C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1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23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8BBB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DF9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08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97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77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9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7C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7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89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9246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C50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8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3A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E2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F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E3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35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0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1C74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F66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8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7C1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9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9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</w:t>
            </w:r>
          </w:p>
        </w:tc>
      </w:tr>
      <w:tr w14:paraId="55CA1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B53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8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A786A6">
            <w:pPr>
              <w:pStyle w:val="13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ind w:lef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1.做好垃圾分类和资源化利用工作，增强居民分类投放好习惯，加快形成绿色生产生活方式。2.提高人居环境和居民生活满意度。3.提高财政预算的使用效益。</w:t>
            </w:r>
          </w:p>
        </w:tc>
        <w:tc>
          <w:tcPr>
            <w:tcW w:w="39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F6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增强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居民分类投放好习惯，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初步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形成绿色生产生活方式。提高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人居环境和居民生活满意度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财政预算的使用效益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得到了提升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。</w:t>
            </w:r>
          </w:p>
        </w:tc>
      </w:tr>
      <w:tr w14:paraId="20115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80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17AD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341A9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73583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BB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C9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E7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31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5ADFC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DA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4460C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2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29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23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5FAD8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F1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083D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55770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40C1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CD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EA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省级高标准示范街道创建数量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7A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1个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AA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1个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0F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69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E7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</w:pPr>
          </w:p>
        </w:tc>
      </w:tr>
      <w:tr w14:paraId="2CDD6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B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1DE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69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A3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生活垃圾分类居民知晓率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7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1C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8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CA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F513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4E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9A02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E1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83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各项工作如期完成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6A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全年如期完成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1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全年如期完成相关工作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40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26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B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8B22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C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ABE4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2C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ED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项目年支出金额不超过预算金额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1E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200万元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25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万元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4F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F1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E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E9E2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E0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06DB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08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2B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D0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98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A5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B1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8A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510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3B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1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A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5F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对自然环境可能造成的负面影响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DB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E1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E4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B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BE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60FD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4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4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598D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771C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117BE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AC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EFD4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45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减少垃圾处理成本，提高再生资源回收利用率。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16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间接提高经济效益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BA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间接提高经济效益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F4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F8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C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67B60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58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0B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E6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6D80A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83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减少环境污染，提高资源利用效率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5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有所提高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97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有所提高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6D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C3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D7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5C6F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5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7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54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DC04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76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减少垃圾对空气、土壤、地下水的污染。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1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81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37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02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63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54403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5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E0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6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DF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绿色环保可持续发展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6C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E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8D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F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57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FDF3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13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3F69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5D060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65DC1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A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0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社会公众或服务对象满意度指标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32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7D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C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02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A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C99E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FB5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9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A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97.5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89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</w:tbl>
    <w:p w14:paraId="5AFFCBC0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0120A731"/>
    <w:p w14:paraId="7A14A4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3-5</w:t>
      </w:r>
    </w:p>
    <w:p w14:paraId="77AC3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1FE2C7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690"/>
        <w:gridCol w:w="1020"/>
        <w:gridCol w:w="2325"/>
        <w:gridCol w:w="1065"/>
        <w:gridCol w:w="1080"/>
        <w:gridCol w:w="675"/>
        <w:gridCol w:w="810"/>
        <w:gridCol w:w="1115"/>
      </w:tblGrid>
      <w:tr w14:paraId="36B39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noWrap w:val="0"/>
            <w:vAlign w:val="center"/>
          </w:tcPr>
          <w:p w14:paraId="78B17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112A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80" w:type="dxa"/>
            <w:gridSpan w:val="8"/>
            <w:shd w:val="clear" w:color="auto" w:fill="auto"/>
            <w:noWrap w:val="0"/>
            <w:vAlign w:val="center"/>
          </w:tcPr>
          <w:p w14:paraId="408DD4C9">
            <w:pPr>
              <w:keepNext w:val="0"/>
              <w:keepLines w:val="0"/>
              <w:widowControl/>
              <w:suppressLineNumbers w:val="0"/>
              <w:ind w:firstLine="630" w:firstLineChars="3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市城区主要道路人行道海绵城市生态提质改造项目</w:t>
            </w:r>
          </w:p>
        </w:tc>
      </w:tr>
      <w:tr w14:paraId="046D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noWrap w:val="0"/>
            <w:vAlign w:val="center"/>
          </w:tcPr>
          <w:p w14:paraId="28B4B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100" w:type="dxa"/>
            <w:gridSpan w:val="4"/>
            <w:noWrap w:val="0"/>
            <w:vAlign w:val="center"/>
          </w:tcPr>
          <w:p w14:paraId="55A8D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noWrap w:val="0"/>
            <w:vAlign w:val="center"/>
          </w:tcPr>
          <w:p w14:paraId="62768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600" w:type="dxa"/>
            <w:gridSpan w:val="3"/>
            <w:noWrap w:val="0"/>
            <w:vAlign w:val="center"/>
          </w:tcPr>
          <w:p w14:paraId="44B60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市城市管理和综合执法局</w:t>
            </w:r>
          </w:p>
        </w:tc>
      </w:tr>
      <w:tr w14:paraId="4B35C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restart"/>
            <w:noWrap w:val="0"/>
            <w:vAlign w:val="center"/>
          </w:tcPr>
          <w:p w14:paraId="4C592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4F98B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325" w:type="dxa"/>
            <w:noWrap w:val="0"/>
            <w:vAlign w:val="center"/>
          </w:tcPr>
          <w:p w14:paraId="0F822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065" w:type="dxa"/>
            <w:noWrap w:val="0"/>
            <w:vAlign w:val="center"/>
          </w:tcPr>
          <w:p w14:paraId="1C39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080" w:type="dxa"/>
            <w:noWrap w:val="0"/>
            <w:vAlign w:val="center"/>
          </w:tcPr>
          <w:p w14:paraId="4E3B2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675" w:type="dxa"/>
            <w:noWrap w:val="0"/>
            <w:vAlign w:val="center"/>
          </w:tcPr>
          <w:p w14:paraId="54386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10" w:type="dxa"/>
            <w:noWrap w:val="0"/>
            <w:vAlign w:val="center"/>
          </w:tcPr>
          <w:p w14:paraId="59C04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115" w:type="dxa"/>
            <w:noWrap w:val="0"/>
            <w:vAlign w:val="center"/>
          </w:tcPr>
          <w:p w14:paraId="14E86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CA3F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6A7B1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1685E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2325" w:type="dxa"/>
            <w:noWrap w:val="0"/>
            <w:vAlign w:val="center"/>
          </w:tcPr>
          <w:p w14:paraId="757A8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1065" w:type="dxa"/>
            <w:noWrap w:val="0"/>
            <w:vAlign w:val="center"/>
          </w:tcPr>
          <w:p w14:paraId="71DC6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1080" w:type="dxa"/>
            <w:noWrap w:val="0"/>
            <w:vAlign w:val="center"/>
          </w:tcPr>
          <w:p w14:paraId="5BE44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675" w:type="dxa"/>
            <w:noWrap w:val="0"/>
            <w:vAlign w:val="center"/>
          </w:tcPr>
          <w:p w14:paraId="4C2FD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1CF36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115" w:type="dxa"/>
            <w:noWrap w:val="0"/>
            <w:vAlign w:val="center"/>
          </w:tcPr>
          <w:p w14:paraId="3D175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32DC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5215B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00A5C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2325" w:type="dxa"/>
            <w:noWrap w:val="0"/>
            <w:vAlign w:val="center"/>
          </w:tcPr>
          <w:p w14:paraId="0719C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1065" w:type="dxa"/>
            <w:noWrap w:val="0"/>
            <w:vAlign w:val="center"/>
          </w:tcPr>
          <w:p w14:paraId="521E5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1080" w:type="dxa"/>
            <w:noWrap w:val="0"/>
            <w:vAlign w:val="center"/>
          </w:tcPr>
          <w:p w14:paraId="64B35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675" w:type="dxa"/>
            <w:noWrap w:val="0"/>
            <w:vAlign w:val="center"/>
          </w:tcPr>
          <w:p w14:paraId="674B7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10" w:type="dxa"/>
            <w:noWrap w:val="0"/>
            <w:vAlign w:val="center"/>
          </w:tcPr>
          <w:p w14:paraId="0DAE5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DAF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D10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52858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24B6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2325" w:type="dxa"/>
            <w:noWrap w:val="0"/>
            <w:vAlign w:val="center"/>
          </w:tcPr>
          <w:p w14:paraId="313E0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F2A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noWrap w:val="0"/>
            <w:vAlign w:val="center"/>
          </w:tcPr>
          <w:p w14:paraId="0BF56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75" w:type="dxa"/>
            <w:noWrap w:val="0"/>
            <w:vAlign w:val="center"/>
          </w:tcPr>
          <w:p w14:paraId="54C0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0" w:type="dxa"/>
            <w:noWrap w:val="0"/>
            <w:vAlign w:val="center"/>
          </w:tcPr>
          <w:p w14:paraId="72D4B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5" w:type="dxa"/>
            <w:noWrap w:val="0"/>
            <w:vAlign w:val="center"/>
          </w:tcPr>
          <w:p w14:paraId="00680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36B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7B3E5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5E7CD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2325" w:type="dxa"/>
            <w:noWrap w:val="0"/>
            <w:vAlign w:val="center"/>
          </w:tcPr>
          <w:p w14:paraId="1D4D1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F6E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noWrap w:val="0"/>
            <w:vAlign w:val="center"/>
          </w:tcPr>
          <w:p w14:paraId="3E911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75" w:type="dxa"/>
            <w:noWrap w:val="0"/>
            <w:vAlign w:val="center"/>
          </w:tcPr>
          <w:p w14:paraId="61395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0" w:type="dxa"/>
            <w:noWrap w:val="0"/>
            <w:vAlign w:val="center"/>
          </w:tcPr>
          <w:p w14:paraId="632D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5" w:type="dxa"/>
            <w:noWrap w:val="0"/>
            <w:vAlign w:val="center"/>
          </w:tcPr>
          <w:p w14:paraId="3F025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CA78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restart"/>
            <w:noWrap w:val="0"/>
            <w:vAlign w:val="center"/>
          </w:tcPr>
          <w:p w14:paraId="49796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100" w:type="dxa"/>
            <w:gridSpan w:val="4"/>
            <w:noWrap w:val="0"/>
            <w:vAlign w:val="center"/>
          </w:tcPr>
          <w:p w14:paraId="484ED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680" w:type="dxa"/>
            <w:gridSpan w:val="4"/>
            <w:noWrap w:val="0"/>
            <w:vAlign w:val="center"/>
          </w:tcPr>
          <w:p w14:paraId="0C4FE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53B51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282CA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100" w:type="dxa"/>
            <w:gridSpan w:val="4"/>
            <w:noWrap w:val="0"/>
            <w:vAlign w:val="center"/>
          </w:tcPr>
          <w:p w14:paraId="33A0C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系统化全面推进海绵城市建设理念得到全面系统落实，城市防洪防涝能力、地下空间利用水平显著升高，城市水环境、水安全、水资源明显改善，群众满意度明显提升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3680" w:type="dxa"/>
            <w:gridSpan w:val="4"/>
            <w:noWrap w:val="0"/>
            <w:vAlign w:val="center"/>
          </w:tcPr>
          <w:p w14:paraId="49772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项目已完成98%，待竣工验收完成结算</w:t>
            </w:r>
          </w:p>
        </w:tc>
      </w:tr>
      <w:tr w14:paraId="4C72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restart"/>
            <w:noWrap w:val="0"/>
            <w:vAlign w:val="center"/>
          </w:tcPr>
          <w:p w14:paraId="0DC5F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8753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1D82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1ECCA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690" w:type="dxa"/>
            <w:noWrap w:val="0"/>
            <w:vAlign w:val="center"/>
          </w:tcPr>
          <w:p w14:paraId="49794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20" w:type="dxa"/>
            <w:noWrap w:val="0"/>
            <w:vAlign w:val="center"/>
          </w:tcPr>
          <w:p w14:paraId="2E02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2325" w:type="dxa"/>
            <w:noWrap w:val="0"/>
            <w:vAlign w:val="center"/>
          </w:tcPr>
          <w:p w14:paraId="69BBA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065" w:type="dxa"/>
            <w:noWrap w:val="0"/>
            <w:vAlign w:val="center"/>
          </w:tcPr>
          <w:p w14:paraId="32A81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080" w:type="dxa"/>
            <w:noWrap w:val="0"/>
            <w:vAlign w:val="center"/>
          </w:tcPr>
          <w:p w14:paraId="4610C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675" w:type="dxa"/>
            <w:noWrap w:val="0"/>
            <w:vAlign w:val="center"/>
          </w:tcPr>
          <w:p w14:paraId="43289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10" w:type="dxa"/>
            <w:noWrap w:val="0"/>
            <w:vAlign w:val="center"/>
          </w:tcPr>
          <w:p w14:paraId="5744C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115" w:type="dxa"/>
            <w:noWrap w:val="0"/>
            <w:vAlign w:val="center"/>
          </w:tcPr>
          <w:p w14:paraId="75A54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307D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6503B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restart"/>
            <w:noWrap w:val="0"/>
            <w:vAlign w:val="center"/>
          </w:tcPr>
          <w:p w14:paraId="0E30A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2E73F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 w14:paraId="0F2B3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2325" w:type="dxa"/>
            <w:noWrap w:val="0"/>
            <w:vAlign w:val="center"/>
          </w:tcPr>
          <w:p w14:paraId="0563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雨水控制率</w:t>
            </w:r>
          </w:p>
        </w:tc>
        <w:tc>
          <w:tcPr>
            <w:tcW w:w="1065" w:type="dxa"/>
            <w:noWrap w:val="0"/>
            <w:vAlign w:val="center"/>
          </w:tcPr>
          <w:p w14:paraId="2F5B1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50%</w:t>
            </w:r>
          </w:p>
        </w:tc>
        <w:tc>
          <w:tcPr>
            <w:tcW w:w="1080" w:type="dxa"/>
            <w:noWrap w:val="0"/>
            <w:vAlign w:val="center"/>
          </w:tcPr>
          <w:p w14:paraId="0A722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50%</w:t>
            </w:r>
          </w:p>
        </w:tc>
        <w:tc>
          <w:tcPr>
            <w:tcW w:w="675" w:type="dxa"/>
            <w:noWrap w:val="0"/>
            <w:vAlign w:val="center"/>
          </w:tcPr>
          <w:p w14:paraId="09FBA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0B244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084F1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6ECB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5BF9E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550E4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781DE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3C714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雨水污染去除率</w:t>
            </w:r>
          </w:p>
        </w:tc>
        <w:tc>
          <w:tcPr>
            <w:tcW w:w="1065" w:type="dxa"/>
            <w:noWrap w:val="0"/>
            <w:vAlign w:val="center"/>
          </w:tcPr>
          <w:p w14:paraId="7D1FD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40%</w:t>
            </w:r>
          </w:p>
        </w:tc>
        <w:tc>
          <w:tcPr>
            <w:tcW w:w="1080" w:type="dxa"/>
            <w:noWrap w:val="0"/>
            <w:vAlign w:val="center"/>
          </w:tcPr>
          <w:p w14:paraId="5FF3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40%</w:t>
            </w:r>
          </w:p>
        </w:tc>
        <w:tc>
          <w:tcPr>
            <w:tcW w:w="675" w:type="dxa"/>
            <w:noWrap w:val="0"/>
            <w:vAlign w:val="center"/>
          </w:tcPr>
          <w:p w14:paraId="1CBD3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119E1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3766A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0DD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1755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21BC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restart"/>
            <w:noWrap w:val="0"/>
            <w:vAlign w:val="center"/>
          </w:tcPr>
          <w:p w14:paraId="7E5CF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2325" w:type="dxa"/>
            <w:noWrap w:val="0"/>
            <w:vAlign w:val="center"/>
          </w:tcPr>
          <w:p w14:paraId="2A7EF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可透水地面面积比例（城市建成区范围和可透水铺装的地面占建成区面积比例</w:t>
            </w:r>
          </w:p>
        </w:tc>
        <w:tc>
          <w:tcPr>
            <w:tcW w:w="1065" w:type="dxa"/>
            <w:noWrap w:val="0"/>
            <w:vAlign w:val="center"/>
          </w:tcPr>
          <w:p w14:paraId="3D22F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080" w:type="dxa"/>
            <w:noWrap w:val="0"/>
            <w:vAlign w:val="center"/>
          </w:tcPr>
          <w:p w14:paraId="7F50E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75" w:type="dxa"/>
            <w:noWrap w:val="0"/>
            <w:vAlign w:val="center"/>
          </w:tcPr>
          <w:p w14:paraId="79394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2EF3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0C05D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4D6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116CD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4DDAA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0E3CE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4BE4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内涝防治标准（重现期年）</w:t>
            </w:r>
          </w:p>
        </w:tc>
        <w:tc>
          <w:tcPr>
            <w:tcW w:w="1065" w:type="dxa"/>
            <w:noWrap w:val="0"/>
            <w:vAlign w:val="center"/>
          </w:tcPr>
          <w:p w14:paraId="30FF0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30年一遇</w:t>
            </w:r>
          </w:p>
        </w:tc>
        <w:tc>
          <w:tcPr>
            <w:tcW w:w="1080" w:type="dxa"/>
            <w:noWrap w:val="0"/>
            <w:vAlign w:val="center"/>
          </w:tcPr>
          <w:p w14:paraId="0CD6B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30年一遇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75" w:type="dxa"/>
            <w:noWrap w:val="0"/>
            <w:vAlign w:val="center"/>
          </w:tcPr>
          <w:p w14:paraId="64B16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6B0D6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0DFDD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4130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3C5E1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15A1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56226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179F3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内涝防治标准（对应降雨量。Mm/24h)</w:t>
            </w:r>
          </w:p>
        </w:tc>
        <w:tc>
          <w:tcPr>
            <w:tcW w:w="1065" w:type="dxa"/>
            <w:noWrap w:val="0"/>
            <w:vAlign w:val="center"/>
          </w:tcPr>
          <w:p w14:paraId="253C6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224.3mm/24h</w:t>
            </w:r>
          </w:p>
        </w:tc>
        <w:tc>
          <w:tcPr>
            <w:tcW w:w="1080" w:type="dxa"/>
            <w:noWrap w:val="0"/>
            <w:vAlign w:val="center"/>
          </w:tcPr>
          <w:p w14:paraId="16434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224.3mm/24h</w:t>
            </w:r>
          </w:p>
        </w:tc>
        <w:tc>
          <w:tcPr>
            <w:tcW w:w="675" w:type="dxa"/>
            <w:noWrap w:val="0"/>
            <w:vAlign w:val="center"/>
          </w:tcPr>
          <w:p w14:paraId="17CF5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0CDBF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2338F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F646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3E47C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7B583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63A7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2325" w:type="dxa"/>
            <w:noWrap w:val="0"/>
            <w:vAlign w:val="center"/>
          </w:tcPr>
          <w:p w14:paraId="7EE24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三年内完成项目建设</w:t>
            </w:r>
          </w:p>
        </w:tc>
        <w:tc>
          <w:tcPr>
            <w:tcW w:w="1065" w:type="dxa"/>
            <w:noWrap w:val="0"/>
            <w:vAlign w:val="center"/>
          </w:tcPr>
          <w:p w14:paraId="1D1B4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3年</w:t>
            </w:r>
          </w:p>
        </w:tc>
        <w:tc>
          <w:tcPr>
            <w:tcW w:w="1080" w:type="dxa"/>
            <w:noWrap w:val="0"/>
            <w:vAlign w:val="center"/>
          </w:tcPr>
          <w:p w14:paraId="062D4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3年</w:t>
            </w:r>
          </w:p>
        </w:tc>
        <w:tc>
          <w:tcPr>
            <w:tcW w:w="675" w:type="dxa"/>
            <w:noWrap w:val="0"/>
            <w:vAlign w:val="center"/>
          </w:tcPr>
          <w:p w14:paraId="1A07A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370F8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244C5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46C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2BDDC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55E66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0B6B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2325" w:type="dxa"/>
            <w:noWrap w:val="0"/>
            <w:vAlign w:val="center"/>
          </w:tcPr>
          <w:p w14:paraId="1A614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不超过全年预算数（万元）</w:t>
            </w:r>
          </w:p>
        </w:tc>
        <w:tc>
          <w:tcPr>
            <w:tcW w:w="1065" w:type="dxa"/>
            <w:noWrap w:val="0"/>
            <w:vAlign w:val="center"/>
          </w:tcPr>
          <w:p w14:paraId="551C4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≤1639.54</w:t>
            </w:r>
          </w:p>
        </w:tc>
        <w:tc>
          <w:tcPr>
            <w:tcW w:w="1080" w:type="dxa"/>
            <w:noWrap w:val="0"/>
            <w:vAlign w:val="center"/>
          </w:tcPr>
          <w:p w14:paraId="7929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675" w:type="dxa"/>
            <w:noWrap w:val="0"/>
            <w:vAlign w:val="center"/>
          </w:tcPr>
          <w:p w14:paraId="4A99D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5F617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39E5A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41C0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70606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restart"/>
            <w:noWrap w:val="0"/>
            <w:vAlign w:val="center"/>
          </w:tcPr>
          <w:p w14:paraId="3368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24EFF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52D4D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0" w:type="dxa"/>
            <w:noWrap w:val="0"/>
            <w:vAlign w:val="center"/>
          </w:tcPr>
          <w:p w14:paraId="0225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1B46F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2325" w:type="dxa"/>
            <w:noWrap w:val="0"/>
            <w:vAlign w:val="center"/>
          </w:tcPr>
          <w:p w14:paraId="2DA1D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完成投资（万元）</w:t>
            </w:r>
          </w:p>
        </w:tc>
        <w:tc>
          <w:tcPr>
            <w:tcW w:w="1065" w:type="dxa"/>
            <w:noWrap w:val="0"/>
            <w:vAlign w:val="center"/>
          </w:tcPr>
          <w:p w14:paraId="2426D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1080" w:type="dxa"/>
            <w:noWrap w:val="0"/>
            <w:vAlign w:val="center"/>
          </w:tcPr>
          <w:p w14:paraId="61761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1639.54</w:t>
            </w:r>
          </w:p>
        </w:tc>
        <w:tc>
          <w:tcPr>
            <w:tcW w:w="675" w:type="dxa"/>
            <w:noWrap w:val="0"/>
            <w:vAlign w:val="center"/>
          </w:tcPr>
          <w:p w14:paraId="152DD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2FB7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619F1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BC7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24DF1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5F0C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restart"/>
            <w:noWrap w:val="0"/>
            <w:vAlign w:val="center"/>
          </w:tcPr>
          <w:p w14:paraId="0862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3E40B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2325" w:type="dxa"/>
            <w:noWrap w:val="0"/>
            <w:vAlign w:val="center"/>
          </w:tcPr>
          <w:p w14:paraId="33B33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海绵城市建设理念是否落实在规划建设管理全过程</w:t>
            </w:r>
          </w:p>
        </w:tc>
        <w:tc>
          <w:tcPr>
            <w:tcW w:w="1065" w:type="dxa"/>
            <w:noWrap w:val="0"/>
            <w:vAlign w:val="center"/>
          </w:tcPr>
          <w:p w14:paraId="65D6E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全面落实</w:t>
            </w:r>
          </w:p>
        </w:tc>
        <w:tc>
          <w:tcPr>
            <w:tcW w:w="1080" w:type="dxa"/>
            <w:noWrap w:val="0"/>
            <w:vAlign w:val="center"/>
          </w:tcPr>
          <w:p w14:paraId="584F4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全面落实</w:t>
            </w:r>
          </w:p>
        </w:tc>
        <w:tc>
          <w:tcPr>
            <w:tcW w:w="675" w:type="dxa"/>
            <w:noWrap w:val="0"/>
            <w:vAlign w:val="center"/>
          </w:tcPr>
          <w:p w14:paraId="4E8F5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5D104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15FF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28D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2DEC6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0FE35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 w14:paraId="0786D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5" w:type="dxa"/>
            <w:noWrap w:val="0"/>
            <w:vAlign w:val="center"/>
          </w:tcPr>
          <w:p w14:paraId="37686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示范城市建设以来，新建项目全面落实建设理念</w:t>
            </w:r>
          </w:p>
        </w:tc>
        <w:tc>
          <w:tcPr>
            <w:tcW w:w="1065" w:type="dxa"/>
            <w:noWrap w:val="0"/>
            <w:vAlign w:val="center"/>
          </w:tcPr>
          <w:p w14:paraId="395D4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是</w:t>
            </w:r>
          </w:p>
        </w:tc>
        <w:tc>
          <w:tcPr>
            <w:tcW w:w="1080" w:type="dxa"/>
            <w:noWrap w:val="0"/>
            <w:vAlign w:val="center"/>
          </w:tcPr>
          <w:p w14:paraId="445F1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是</w:t>
            </w:r>
          </w:p>
        </w:tc>
        <w:tc>
          <w:tcPr>
            <w:tcW w:w="675" w:type="dxa"/>
            <w:noWrap w:val="0"/>
            <w:vAlign w:val="center"/>
          </w:tcPr>
          <w:p w14:paraId="1BCC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3AAB4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18F7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7B5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6D301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1E605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3C89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0B707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2325" w:type="dxa"/>
            <w:noWrap w:val="0"/>
            <w:vAlign w:val="center"/>
          </w:tcPr>
          <w:p w14:paraId="09EF9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项目谋划与实施的系统性整体性（防涝与排渍水统筹、地上与地下统筹、排涝和治污统筹等）</w:t>
            </w:r>
          </w:p>
        </w:tc>
        <w:tc>
          <w:tcPr>
            <w:tcW w:w="1065" w:type="dxa"/>
            <w:noWrap w:val="0"/>
            <w:vAlign w:val="center"/>
          </w:tcPr>
          <w:p w14:paraId="53C52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强</w:t>
            </w:r>
          </w:p>
        </w:tc>
        <w:tc>
          <w:tcPr>
            <w:tcW w:w="1080" w:type="dxa"/>
            <w:noWrap w:val="0"/>
            <w:vAlign w:val="center"/>
          </w:tcPr>
          <w:p w14:paraId="2B6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强</w:t>
            </w:r>
          </w:p>
        </w:tc>
        <w:tc>
          <w:tcPr>
            <w:tcW w:w="675" w:type="dxa"/>
            <w:noWrap w:val="0"/>
            <w:vAlign w:val="center"/>
          </w:tcPr>
          <w:p w14:paraId="47BDB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0ED90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51C55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8484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49C51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vMerge w:val="continue"/>
            <w:noWrap w:val="0"/>
            <w:vAlign w:val="center"/>
          </w:tcPr>
          <w:p w14:paraId="126A6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CB42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2325" w:type="dxa"/>
            <w:noWrap w:val="0"/>
            <w:vAlign w:val="center"/>
          </w:tcPr>
          <w:p w14:paraId="65E53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提升城市排水管理，保障人民生命财产安全</w:t>
            </w:r>
          </w:p>
        </w:tc>
        <w:tc>
          <w:tcPr>
            <w:tcW w:w="1065" w:type="dxa"/>
            <w:noWrap w:val="0"/>
            <w:vAlign w:val="center"/>
          </w:tcPr>
          <w:p w14:paraId="5520C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具有可持续性</w:t>
            </w:r>
          </w:p>
        </w:tc>
        <w:tc>
          <w:tcPr>
            <w:tcW w:w="1080" w:type="dxa"/>
            <w:noWrap w:val="0"/>
            <w:vAlign w:val="center"/>
          </w:tcPr>
          <w:p w14:paraId="4FCA4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具有可持续性</w:t>
            </w:r>
          </w:p>
        </w:tc>
        <w:tc>
          <w:tcPr>
            <w:tcW w:w="675" w:type="dxa"/>
            <w:noWrap w:val="0"/>
            <w:vAlign w:val="center"/>
          </w:tcPr>
          <w:p w14:paraId="3AD60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 w14:paraId="399BE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115" w:type="dxa"/>
            <w:noWrap w:val="0"/>
            <w:vAlign w:val="center"/>
          </w:tcPr>
          <w:p w14:paraId="343F4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AD21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1" w:type="dxa"/>
            <w:vMerge w:val="continue"/>
            <w:noWrap w:val="0"/>
            <w:vAlign w:val="center"/>
          </w:tcPr>
          <w:p w14:paraId="7535D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noWrap w:val="0"/>
            <w:vAlign w:val="center"/>
          </w:tcPr>
          <w:p w14:paraId="54DE6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满意度指标</w:t>
            </w:r>
          </w:p>
        </w:tc>
        <w:tc>
          <w:tcPr>
            <w:tcW w:w="1020" w:type="dxa"/>
            <w:noWrap w:val="0"/>
            <w:vAlign w:val="center"/>
          </w:tcPr>
          <w:p w14:paraId="14C7C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2325" w:type="dxa"/>
            <w:noWrap w:val="0"/>
            <w:vAlign w:val="center"/>
          </w:tcPr>
          <w:p w14:paraId="719BB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人民群众满意度</w:t>
            </w:r>
          </w:p>
        </w:tc>
        <w:tc>
          <w:tcPr>
            <w:tcW w:w="1065" w:type="dxa"/>
            <w:noWrap w:val="0"/>
            <w:vAlign w:val="center"/>
          </w:tcPr>
          <w:p w14:paraId="14EA6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1080" w:type="dxa"/>
            <w:noWrap w:val="0"/>
            <w:vAlign w:val="center"/>
          </w:tcPr>
          <w:p w14:paraId="006E0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675" w:type="dxa"/>
            <w:noWrap w:val="0"/>
            <w:vAlign w:val="center"/>
          </w:tcPr>
          <w:p w14:paraId="465B2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10" w:type="dxa"/>
            <w:noWrap w:val="0"/>
            <w:vAlign w:val="center"/>
          </w:tcPr>
          <w:p w14:paraId="5E2A5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15" w:type="dxa"/>
            <w:noWrap w:val="0"/>
            <w:vAlign w:val="center"/>
          </w:tcPr>
          <w:p w14:paraId="30F8B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312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51" w:type="dxa"/>
            <w:gridSpan w:val="6"/>
            <w:noWrap w:val="0"/>
            <w:vAlign w:val="center"/>
          </w:tcPr>
          <w:p w14:paraId="1EDCD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75" w:type="dxa"/>
            <w:noWrap w:val="0"/>
            <w:vAlign w:val="center"/>
          </w:tcPr>
          <w:p w14:paraId="120A7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10" w:type="dxa"/>
            <w:noWrap w:val="0"/>
            <w:vAlign w:val="center"/>
          </w:tcPr>
          <w:p w14:paraId="3526F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115" w:type="dxa"/>
            <w:noWrap w:val="0"/>
            <w:vAlign w:val="center"/>
          </w:tcPr>
          <w:p w14:paraId="6A94C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329582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55DAE5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3-6</w:t>
      </w:r>
    </w:p>
    <w:p w14:paraId="0FA8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119DD3D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846"/>
        <w:gridCol w:w="1950"/>
        <w:gridCol w:w="1380"/>
        <w:gridCol w:w="975"/>
        <w:gridCol w:w="630"/>
        <w:gridCol w:w="705"/>
        <w:gridCol w:w="1205"/>
      </w:tblGrid>
      <w:tr w14:paraId="5AE57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3D1A6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5DD19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60972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阳市蛇皮套和三大湖综合整治工程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　</w:t>
            </w:r>
          </w:p>
        </w:tc>
      </w:tr>
      <w:tr w14:paraId="6D6E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4229C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256" w:type="dxa"/>
            <w:gridSpan w:val="4"/>
            <w:noWrap w:val="0"/>
            <w:vAlign w:val="center"/>
          </w:tcPr>
          <w:p w14:paraId="336E2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岳阳市城市管理和综合执法局</w:t>
            </w:r>
          </w:p>
        </w:tc>
        <w:tc>
          <w:tcPr>
            <w:tcW w:w="975" w:type="dxa"/>
            <w:noWrap w:val="0"/>
            <w:vAlign w:val="center"/>
          </w:tcPr>
          <w:p w14:paraId="7AA13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540" w:type="dxa"/>
            <w:gridSpan w:val="3"/>
            <w:noWrap w:val="0"/>
            <w:vAlign w:val="center"/>
          </w:tcPr>
          <w:p w14:paraId="3F4A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岳阳凯投环保科技有限公司</w:t>
            </w:r>
          </w:p>
        </w:tc>
      </w:tr>
      <w:tr w14:paraId="2B133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4F643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1926" w:type="dxa"/>
            <w:gridSpan w:val="2"/>
            <w:noWrap w:val="0"/>
            <w:vAlign w:val="center"/>
          </w:tcPr>
          <w:p w14:paraId="48F7F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950" w:type="dxa"/>
            <w:noWrap w:val="0"/>
            <w:vAlign w:val="center"/>
          </w:tcPr>
          <w:p w14:paraId="06226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6BCC0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380" w:type="dxa"/>
            <w:noWrap w:val="0"/>
            <w:vAlign w:val="center"/>
          </w:tcPr>
          <w:p w14:paraId="4366B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063D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975" w:type="dxa"/>
            <w:noWrap w:val="0"/>
            <w:vAlign w:val="center"/>
          </w:tcPr>
          <w:p w14:paraId="1177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527E2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630" w:type="dxa"/>
            <w:noWrap w:val="0"/>
            <w:vAlign w:val="center"/>
          </w:tcPr>
          <w:p w14:paraId="3466C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05" w:type="dxa"/>
            <w:noWrap w:val="0"/>
            <w:vAlign w:val="center"/>
          </w:tcPr>
          <w:p w14:paraId="191E0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205" w:type="dxa"/>
            <w:noWrap w:val="0"/>
            <w:vAlign w:val="center"/>
          </w:tcPr>
          <w:p w14:paraId="0C1E3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063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25B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6" w:type="dxa"/>
            <w:gridSpan w:val="2"/>
            <w:noWrap w:val="0"/>
            <w:vAlign w:val="center"/>
          </w:tcPr>
          <w:p w14:paraId="649C2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950" w:type="dxa"/>
            <w:noWrap w:val="0"/>
            <w:vAlign w:val="center"/>
          </w:tcPr>
          <w:p w14:paraId="06A4E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1380" w:type="dxa"/>
            <w:noWrap w:val="0"/>
            <w:vAlign w:val="center"/>
          </w:tcPr>
          <w:p w14:paraId="45382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975" w:type="dxa"/>
            <w:noWrap w:val="0"/>
            <w:vAlign w:val="center"/>
          </w:tcPr>
          <w:p w14:paraId="5B227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630" w:type="dxa"/>
            <w:noWrap w:val="0"/>
            <w:vAlign w:val="center"/>
          </w:tcPr>
          <w:p w14:paraId="100C1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1B42C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05" w:type="dxa"/>
            <w:noWrap w:val="0"/>
            <w:vAlign w:val="center"/>
          </w:tcPr>
          <w:p w14:paraId="2432F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65C2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1585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6" w:type="dxa"/>
            <w:gridSpan w:val="2"/>
            <w:noWrap w:val="0"/>
            <w:vAlign w:val="center"/>
          </w:tcPr>
          <w:p w14:paraId="0A850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950" w:type="dxa"/>
            <w:noWrap w:val="0"/>
            <w:vAlign w:val="center"/>
          </w:tcPr>
          <w:p w14:paraId="128D5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1380" w:type="dxa"/>
            <w:noWrap w:val="0"/>
            <w:vAlign w:val="center"/>
          </w:tcPr>
          <w:p w14:paraId="0F98A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975" w:type="dxa"/>
            <w:noWrap w:val="0"/>
            <w:vAlign w:val="center"/>
          </w:tcPr>
          <w:p w14:paraId="00DF4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3758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630" w:type="dxa"/>
            <w:noWrap w:val="0"/>
            <w:vAlign w:val="center"/>
          </w:tcPr>
          <w:p w14:paraId="14324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453F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A9B9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17E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012B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6" w:type="dxa"/>
            <w:gridSpan w:val="2"/>
            <w:noWrap w:val="0"/>
            <w:vAlign w:val="center"/>
          </w:tcPr>
          <w:p w14:paraId="7A02B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950" w:type="dxa"/>
            <w:noWrap w:val="0"/>
            <w:vAlign w:val="center"/>
          </w:tcPr>
          <w:p w14:paraId="0760C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80" w:type="dxa"/>
            <w:noWrap w:val="0"/>
            <w:vAlign w:val="center"/>
          </w:tcPr>
          <w:p w14:paraId="04D0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75" w:type="dxa"/>
            <w:noWrap w:val="0"/>
            <w:vAlign w:val="center"/>
          </w:tcPr>
          <w:p w14:paraId="1DF49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30" w:type="dxa"/>
            <w:noWrap w:val="0"/>
            <w:vAlign w:val="center"/>
          </w:tcPr>
          <w:p w14:paraId="4AA8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05" w:type="dxa"/>
            <w:noWrap w:val="0"/>
            <w:vAlign w:val="center"/>
          </w:tcPr>
          <w:p w14:paraId="48504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05" w:type="dxa"/>
            <w:noWrap w:val="0"/>
            <w:vAlign w:val="center"/>
          </w:tcPr>
          <w:p w14:paraId="57C5A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BF8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67C9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26" w:type="dxa"/>
            <w:gridSpan w:val="2"/>
            <w:noWrap w:val="0"/>
            <w:vAlign w:val="center"/>
          </w:tcPr>
          <w:p w14:paraId="6D918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950" w:type="dxa"/>
            <w:noWrap w:val="0"/>
            <w:vAlign w:val="center"/>
          </w:tcPr>
          <w:p w14:paraId="65399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80" w:type="dxa"/>
            <w:noWrap w:val="0"/>
            <w:vAlign w:val="center"/>
          </w:tcPr>
          <w:p w14:paraId="074C7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75" w:type="dxa"/>
            <w:noWrap w:val="0"/>
            <w:vAlign w:val="center"/>
          </w:tcPr>
          <w:p w14:paraId="52994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30" w:type="dxa"/>
            <w:noWrap w:val="0"/>
            <w:vAlign w:val="center"/>
          </w:tcPr>
          <w:p w14:paraId="067B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05" w:type="dxa"/>
            <w:noWrap w:val="0"/>
            <w:vAlign w:val="center"/>
          </w:tcPr>
          <w:p w14:paraId="0006A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05" w:type="dxa"/>
            <w:noWrap w:val="0"/>
            <w:vAlign w:val="center"/>
          </w:tcPr>
          <w:p w14:paraId="7A8B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B69A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A324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256" w:type="dxa"/>
            <w:gridSpan w:val="4"/>
            <w:noWrap w:val="0"/>
            <w:vAlign w:val="center"/>
          </w:tcPr>
          <w:p w14:paraId="01945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 w14:paraId="57727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38B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B282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256" w:type="dxa"/>
            <w:gridSpan w:val="4"/>
            <w:noWrap w:val="0"/>
            <w:vAlign w:val="center"/>
          </w:tcPr>
          <w:p w14:paraId="4485E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及时处理公园内基础设施设备，保障设施设备良好，同时公共区域内无废弃物。2、明确管理责任，健全操作规程，对于定期检查、维修养护进行完整记录。3、公园不定期开展安全宣传教育培训活动，开展安全隐患排查；组织应急预案演练。4、生态滤池进水情况进行规范的记录，及时进行检测。5、严格遵照考核指标，公园环境、水质、路面、设施设备高水平维护，保障经费回报完整。6、随机调查相关社会人员对于项目提供社会性服务的满意度，周边住户评价度高有助于提升项目在公众中的形象。　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 w14:paraId="79ACC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针对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公园内基础设施设备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运行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良好，同时公共区域内无废弃物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，清理及时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。定期检查、维修养护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完整记录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备案；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2、遵照考核指标，公园环境、水质、路面、设施设备进行了高水平维护。3、周边住户评价度高；4、定期自查自检，对运行过程中发生的不利情况进行及时的修正或整改，无相关投诉情况。达到了预期目标。</w:t>
            </w:r>
          </w:p>
        </w:tc>
      </w:tr>
      <w:tr w14:paraId="24AF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F4D6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320E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6BFF0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21F5B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1BE59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846" w:type="dxa"/>
            <w:noWrap w:val="0"/>
            <w:vAlign w:val="center"/>
          </w:tcPr>
          <w:p w14:paraId="6E44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950" w:type="dxa"/>
            <w:noWrap w:val="0"/>
            <w:vAlign w:val="center"/>
          </w:tcPr>
          <w:p w14:paraId="5C913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80" w:type="dxa"/>
            <w:noWrap w:val="0"/>
            <w:vAlign w:val="center"/>
          </w:tcPr>
          <w:p w14:paraId="4242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781B0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975" w:type="dxa"/>
            <w:noWrap w:val="0"/>
            <w:vAlign w:val="center"/>
          </w:tcPr>
          <w:p w14:paraId="6EFB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D76D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30" w:type="dxa"/>
            <w:noWrap w:val="0"/>
            <w:vAlign w:val="center"/>
          </w:tcPr>
          <w:p w14:paraId="5B84F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05" w:type="dxa"/>
            <w:noWrap w:val="0"/>
            <w:vAlign w:val="center"/>
          </w:tcPr>
          <w:p w14:paraId="5CCBD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205" w:type="dxa"/>
            <w:noWrap w:val="0"/>
            <w:vAlign w:val="center"/>
          </w:tcPr>
          <w:p w14:paraId="7B3EE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F94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1399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0AFB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1520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ECA1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846" w:type="dxa"/>
            <w:noWrap w:val="0"/>
            <w:vAlign w:val="center"/>
          </w:tcPr>
          <w:p w14:paraId="00973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950" w:type="dxa"/>
            <w:noWrap w:val="0"/>
            <w:vAlign w:val="center"/>
          </w:tcPr>
          <w:p w14:paraId="53B2D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1.符合相关法律规定，验收合格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2.符合工程施工安全检查标准；3.完成排污管道建设；4.完成工程竣工；5.完成园林绿化；6.完成道路及人行道维护；7.完成日常排水</w:t>
            </w:r>
          </w:p>
        </w:tc>
        <w:tc>
          <w:tcPr>
            <w:tcW w:w="1380" w:type="dxa"/>
            <w:noWrap w:val="0"/>
            <w:vAlign w:val="center"/>
          </w:tcPr>
          <w:p w14:paraId="3A885D42">
            <w:pPr>
              <w:keepNext w:val="0"/>
              <w:keepLines w:val="0"/>
              <w:pageBreakBefore w:val="0"/>
              <w:widowControl w:val="0"/>
              <w:tabs>
                <w:tab w:val="left" w:pos="4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3758.83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万</w:t>
            </w:r>
          </w:p>
        </w:tc>
        <w:tc>
          <w:tcPr>
            <w:tcW w:w="975" w:type="dxa"/>
            <w:noWrap w:val="0"/>
            <w:vAlign w:val="center"/>
          </w:tcPr>
          <w:p w14:paraId="12EB6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3C1B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36034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23FB1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AD8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95FF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B89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70E2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950" w:type="dxa"/>
            <w:noWrap w:val="0"/>
            <w:vAlign w:val="center"/>
          </w:tcPr>
          <w:p w14:paraId="2109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1.灌木丛缺失率；2.水体化学含氧量；3.财务管理制度严格规范；4.建筑质量保持度；5.车辙累计长度；6.园区内标示标牌</w:t>
            </w:r>
          </w:p>
        </w:tc>
        <w:tc>
          <w:tcPr>
            <w:tcW w:w="1380" w:type="dxa"/>
            <w:noWrap w:val="0"/>
            <w:vAlign w:val="center"/>
          </w:tcPr>
          <w:p w14:paraId="55B77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1.不超过1㎡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2.不超过30mg/L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3.规范度100%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4.保持度98%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5.不超过25 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数量100%</w:t>
            </w:r>
          </w:p>
        </w:tc>
        <w:tc>
          <w:tcPr>
            <w:tcW w:w="975" w:type="dxa"/>
            <w:noWrap w:val="0"/>
            <w:vAlign w:val="center"/>
          </w:tcPr>
          <w:p w14:paraId="0BA34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353B6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290B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43E42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3CE9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AD6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3A7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FFDB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950" w:type="dxa"/>
            <w:noWrap w:val="0"/>
            <w:vAlign w:val="center"/>
          </w:tcPr>
          <w:p w14:paraId="3671D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1.季度考核30%另纳入运营期绩效考核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2。季度考核</w:t>
            </w:r>
          </w:p>
        </w:tc>
        <w:tc>
          <w:tcPr>
            <w:tcW w:w="1380" w:type="dxa"/>
            <w:noWrap w:val="0"/>
            <w:vAlign w:val="center"/>
          </w:tcPr>
          <w:p w14:paraId="5893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1.30%每季度考核一次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每季度考核</w:t>
            </w:r>
          </w:p>
        </w:tc>
        <w:tc>
          <w:tcPr>
            <w:tcW w:w="975" w:type="dxa"/>
            <w:noWrap w:val="0"/>
            <w:vAlign w:val="center"/>
          </w:tcPr>
          <w:p w14:paraId="748F7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770DF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40EE8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2D45E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87B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D867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2D10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vMerge w:val="restart"/>
            <w:noWrap w:val="0"/>
            <w:vAlign w:val="center"/>
          </w:tcPr>
          <w:p w14:paraId="4883E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950" w:type="dxa"/>
            <w:noWrap w:val="0"/>
            <w:vAlign w:val="center"/>
          </w:tcPr>
          <w:p w14:paraId="1FD69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项目金额控制在预算内</w:t>
            </w:r>
          </w:p>
        </w:tc>
        <w:tc>
          <w:tcPr>
            <w:tcW w:w="1380" w:type="dxa"/>
            <w:noWrap w:val="0"/>
            <w:vAlign w:val="center"/>
          </w:tcPr>
          <w:p w14:paraId="41A6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3758.83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万</w:t>
            </w:r>
          </w:p>
        </w:tc>
        <w:tc>
          <w:tcPr>
            <w:tcW w:w="975" w:type="dxa"/>
            <w:noWrap w:val="0"/>
            <w:vAlign w:val="center"/>
          </w:tcPr>
          <w:p w14:paraId="02617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34957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31F7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44706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D92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97D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4547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vMerge w:val="continue"/>
            <w:noWrap w:val="0"/>
            <w:vAlign w:val="center"/>
          </w:tcPr>
          <w:p w14:paraId="4046F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2F064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对社会发展造成的负面影响</w:t>
            </w:r>
          </w:p>
        </w:tc>
        <w:tc>
          <w:tcPr>
            <w:tcW w:w="1380" w:type="dxa"/>
            <w:noWrap w:val="0"/>
            <w:vAlign w:val="center"/>
          </w:tcPr>
          <w:p w14:paraId="6FF0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975" w:type="dxa"/>
            <w:noWrap w:val="0"/>
            <w:vAlign w:val="center"/>
          </w:tcPr>
          <w:p w14:paraId="6FA9A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78136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293D0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2207C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4B8B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CF21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0632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vMerge w:val="continue"/>
            <w:noWrap w:val="0"/>
            <w:vAlign w:val="center"/>
          </w:tcPr>
          <w:p w14:paraId="594E1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9293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对生态环境造成费负面影响</w:t>
            </w:r>
          </w:p>
        </w:tc>
        <w:tc>
          <w:tcPr>
            <w:tcW w:w="1380" w:type="dxa"/>
            <w:noWrap w:val="0"/>
            <w:vAlign w:val="center"/>
          </w:tcPr>
          <w:p w14:paraId="1C0A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975" w:type="dxa"/>
            <w:noWrap w:val="0"/>
            <w:vAlign w:val="center"/>
          </w:tcPr>
          <w:p w14:paraId="6828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2D73B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6B661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11594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1DF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B3FB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1D0D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4159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86D2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59D9A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46" w:type="dxa"/>
            <w:noWrap w:val="0"/>
            <w:vAlign w:val="center"/>
          </w:tcPr>
          <w:p w14:paraId="55CD8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00E0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950" w:type="dxa"/>
            <w:noWrap w:val="0"/>
            <w:vAlign w:val="center"/>
          </w:tcPr>
          <w:p w14:paraId="409D0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将PPP项目总投资金额，按PPP合同公式计算，十年分期支付给项目公司</w:t>
            </w:r>
          </w:p>
        </w:tc>
        <w:tc>
          <w:tcPr>
            <w:tcW w:w="1380" w:type="dxa"/>
            <w:noWrap w:val="0"/>
            <w:vAlign w:val="center"/>
          </w:tcPr>
          <w:p w14:paraId="4FABB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每年支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付可用性服务费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2397.55万元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2.每年支付290万运营费。</w:t>
            </w:r>
          </w:p>
        </w:tc>
        <w:tc>
          <w:tcPr>
            <w:tcW w:w="975" w:type="dxa"/>
            <w:noWrap w:val="0"/>
            <w:vAlign w:val="center"/>
          </w:tcPr>
          <w:p w14:paraId="17E47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24303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2C2A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3D656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9E44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5C10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E743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A8D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580ED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950" w:type="dxa"/>
            <w:noWrap w:val="0"/>
            <w:vAlign w:val="center"/>
          </w:tcPr>
          <w:p w14:paraId="16E15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给周边居民提供良好的生态环境公园</w:t>
            </w:r>
          </w:p>
        </w:tc>
        <w:tc>
          <w:tcPr>
            <w:tcW w:w="1380" w:type="dxa"/>
            <w:noWrap w:val="0"/>
            <w:vAlign w:val="center"/>
          </w:tcPr>
          <w:p w14:paraId="3F5BF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975" w:type="dxa"/>
            <w:noWrap w:val="0"/>
            <w:vAlign w:val="center"/>
          </w:tcPr>
          <w:p w14:paraId="085B9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4FE0B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49E4B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3CC4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7C9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4FC6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92E0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vMerge w:val="restart"/>
            <w:noWrap w:val="0"/>
            <w:vAlign w:val="center"/>
          </w:tcPr>
          <w:p w14:paraId="706F5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5E3D1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950" w:type="dxa"/>
            <w:noWrap w:val="0"/>
            <w:vAlign w:val="center"/>
          </w:tcPr>
          <w:p w14:paraId="03A56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改善原本的发臭味水体影响。</w:t>
            </w:r>
          </w:p>
        </w:tc>
        <w:tc>
          <w:tcPr>
            <w:tcW w:w="1380" w:type="dxa"/>
            <w:noWrap w:val="0"/>
            <w:vAlign w:val="center"/>
          </w:tcPr>
          <w:p w14:paraId="28DA5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1.水体无发臭味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2.改善城市形象。</w:t>
            </w:r>
          </w:p>
        </w:tc>
        <w:tc>
          <w:tcPr>
            <w:tcW w:w="975" w:type="dxa"/>
            <w:noWrap w:val="0"/>
            <w:vAlign w:val="center"/>
          </w:tcPr>
          <w:p w14:paraId="4CD5B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0B984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164DC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213B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B0B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FD7F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7238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vMerge w:val="continue"/>
            <w:noWrap w:val="0"/>
            <w:vAlign w:val="center"/>
          </w:tcPr>
          <w:p w14:paraId="66FA8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43A7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给城市的生态环境带来正面影响。</w:t>
            </w:r>
          </w:p>
        </w:tc>
        <w:tc>
          <w:tcPr>
            <w:tcW w:w="1380" w:type="dxa"/>
            <w:noWrap w:val="0"/>
            <w:vAlign w:val="center"/>
          </w:tcPr>
          <w:p w14:paraId="0D049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改善城市形象。</w:t>
            </w:r>
          </w:p>
        </w:tc>
        <w:tc>
          <w:tcPr>
            <w:tcW w:w="975" w:type="dxa"/>
            <w:noWrap w:val="0"/>
            <w:vAlign w:val="center"/>
          </w:tcPr>
          <w:p w14:paraId="48ED0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172AC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268D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29CA7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DCA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D7A9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188D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E1ED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950" w:type="dxa"/>
            <w:noWrap w:val="0"/>
            <w:vAlign w:val="center"/>
          </w:tcPr>
          <w:p w14:paraId="2461B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周边生态可持续好转</w:t>
            </w:r>
          </w:p>
        </w:tc>
        <w:tc>
          <w:tcPr>
            <w:tcW w:w="1380" w:type="dxa"/>
            <w:noWrap w:val="0"/>
            <w:vAlign w:val="center"/>
          </w:tcPr>
          <w:p w14:paraId="1BB5C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持续发展海绵城市</w:t>
            </w:r>
          </w:p>
        </w:tc>
        <w:tc>
          <w:tcPr>
            <w:tcW w:w="975" w:type="dxa"/>
            <w:noWrap w:val="0"/>
            <w:vAlign w:val="center"/>
          </w:tcPr>
          <w:p w14:paraId="5F899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5F2BA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05" w:type="dxa"/>
            <w:noWrap w:val="0"/>
            <w:vAlign w:val="center"/>
          </w:tcPr>
          <w:p w14:paraId="7F51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 w14:paraId="0B064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495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A5A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2E28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22458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366C9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846" w:type="dxa"/>
            <w:noWrap w:val="0"/>
            <w:vAlign w:val="center"/>
          </w:tcPr>
          <w:p w14:paraId="39D84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950" w:type="dxa"/>
            <w:noWrap w:val="0"/>
            <w:vAlign w:val="center"/>
          </w:tcPr>
          <w:p w14:paraId="033F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周边居民满意度</w:t>
            </w:r>
          </w:p>
        </w:tc>
        <w:tc>
          <w:tcPr>
            <w:tcW w:w="1380" w:type="dxa"/>
            <w:noWrap w:val="0"/>
            <w:vAlign w:val="center"/>
          </w:tcPr>
          <w:p w14:paraId="05C5D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周边居民满意程度100%</w:t>
            </w:r>
          </w:p>
        </w:tc>
        <w:tc>
          <w:tcPr>
            <w:tcW w:w="975" w:type="dxa"/>
            <w:noWrap w:val="0"/>
            <w:vAlign w:val="center"/>
          </w:tcPr>
          <w:p w14:paraId="3407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noWrap w:val="0"/>
            <w:vAlign w:val="center"/>
          </w:tcPr>
          <w:p w14:paraId="27672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5" w:type="dxa"/>
            <w:noWrap w:val="0"/>
            <w:vAlign w:val="center"/>
          </w:tcPr>
          <w:p w14:paraId="3094C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noWrap w:val="0"/>
            <w:vAlign w:val="center"/>
          </w:tcPr>
          <w:p w14:paraId="3C8AC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78C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11" w:type="dxa"/>
            <w:gridSpan w:val="6"/>
            <w:noWrap w:val="0"/>
            <w:vAlign w:val="center"/>
          </w:tcPr>
          <w:p w14:paraId="397EF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30" w:type="dxa"/>
            <w:noWrap w:val="0"/>
            <w:vAlign w:val="center"/>
          </w:tcPr>
          <w:p w14:paraId="72B94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705" w:type="dxa"/>
            <w:noWrap w:val="0"/>
            <w:vAlign w:val="center"/>
          </w:tcPr>
          <w:p w14:paraId="01983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205" w:type="dxa"/>
            <w:noWrap w:val="0"/>
            <w:vAlign w:val="center"/>
          </w:tcPr>
          <w:p w14:paraId="3B02F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6EE24C4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34F566D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43143649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11220835">
      <w:r>
        <w:br w:type="page"/>
      </w:r>
    </w:p>
    <w:p w14:paraId="6B760B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3-7</w:t>
      </w:r>
    </w:p>
    <w:p w14:paraId="5F1BF7D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1FD21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3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187A0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DD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2025年岳阳市中心城区春节氛围营造摆花工程　</w:t>
            </w:r>
          </w:p>
        </w:tc>
      </w:tr>
      <w:tr w14:paraId="22B92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24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5F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233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B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岳阳市园林绿化管理中心</w:t>
            </w:r>
          </w:p>
        </w:tc>
      </w:tr>
      <w:tr w14:paraId="4D829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6A5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B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0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3534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6E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63413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3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38164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4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F0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C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1454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BEF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C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2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64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2A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  <w:t>195.98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76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97.99%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EE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9.8</w:t>
            </w:r>
          </w:p>
        </w:tc>
      </w:tr>
      <w:tr w14:paraId="5E653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CA4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67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6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8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9D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  <w:t>195.98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A3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E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1988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44E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1C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86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F1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A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43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CD4A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BA7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1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35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5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F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E5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BC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34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2575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8C5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9FC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E8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2304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71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AD8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提高城市文明形象，提升市民幸福指数。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春节期间，在市主城区的南湖广场、岳阳东站广场、金鹗公园东门广场、岳阳大道东、岳阳大道西5处设置大型景观小品，全力营造喜庆的春节氛围，点“靓”浓浓年味。</w:t>
            </w:r>
          </w:p>
        </w:tc>
      </w:tr>
      <w:tr w14:paraId="4AD36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70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6224E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64FC3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6E157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4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33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61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0B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59C2B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BA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3AC84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5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53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9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54985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3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69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3BCA6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91C1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FF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08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按合同地点完成摆花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2A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5处大型景观小品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93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5处大型景观小品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9C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F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6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8BBA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EB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FE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0C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1E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按合同标准完成摆花工作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5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达到合同要求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86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达到合同要求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F7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9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1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C50E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D0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45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35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93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年度完成工作任务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0F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按时完成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63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按时完成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DF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17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E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9507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F3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51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A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F9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项目年支出金额不超过预算金额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A6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00万元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BC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 w:eastAsia="zh-CN"/>
              </w:rPr>
              <w:t>195.98万元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4C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89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851C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F7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95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7E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7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对社会发展可能造成的负面影响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3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67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1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9C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84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46F3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F1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A0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9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CA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对生态环境可能造成的负面影响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24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DF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34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D0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6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942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15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20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32BE8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6921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6E2F3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9E1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6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B16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3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EC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3B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42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ADE3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0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2D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5B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11B55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F95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对社会效益的影响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BE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383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3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E6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73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54CF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B0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4F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B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AB4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079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对生态环境的影响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033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94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36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32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FE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914A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A0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46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EF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43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提升岳阳对外形象和竞争力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BAA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F07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5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C4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15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6FF3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25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80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427CE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33592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C5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FA8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城市市民满意度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4C3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满意率达95%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E14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1F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27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93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07FC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7B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29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97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5E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00267FCE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eastAsia="zh-CN"/>
        </w:rPr>
        <w:t>杜思雨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15773010050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 w14:paraId="64D28C8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3-8</w:t>
      </w:r>
    </w:p>
    <w:p w14:paraId="2569E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24F9A9E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933"/>
        <w:gridCol w:w="1371"/>
        <w:gridCol w:w="1134"/>
        <w:gridCol w:w="1134"/>
        <w:gridCol w:w="828"/>
        <w:gridCol w:w="873"/>
        <w:gridCol w:w="1418"/>
      </w:tblGrid>
      <w:tr w14:paraId="40B34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39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E2F0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1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园林绿化事务管理经费</w:t>
            </w:r>
          </w:p>
        </w:tc>
      </w:tr>
      <w:tr w14:paraId="7FF9D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ED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0F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F3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DC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岳阳市园林绿化管理中心</w:t>
            </w:r>
          </w:p>
        </w:tc>
      </w:tr>
      <w:tr w14:paraId="03055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E3E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5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8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32976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93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0573F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C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78975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E1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2C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4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3C201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289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E9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72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3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25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68.4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4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41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90.07%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BE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9.01</w:t>
            </w:r>
          </w:p>
        </w:tc>
      </w:tr>
      <w:tr w14:paraId="3A662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EB3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10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0B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E5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0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68.4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19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E3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E9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C90F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CD0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4E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C1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C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A6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9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86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F6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FFE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510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A4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ED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BD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88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92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D7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7F47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612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8C7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A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1386A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4FF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DB9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开展全市园林绿地绿地信息的调查、采集、统计和全国城市园林绿化行业信息系统、湖南省住建领域统计信息平台数据上报查询等服务工作；开展园林绿化科研活动项目生物多样性保护工作；开展市城区古树名木及后备资源保护工作；开展城市绿化主题宣传；社会绿化管理。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76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全年度实时、动态监控城市园林绿化信息数据；开展1次以上园林绿化科研活动项目；全年对市城区范围内的古树名木及后备资源进行1次以上检测和保护；开展植树节、城市绿化宣传周等1次以上园林绿化主题活动；社会绿化管理、应急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。</w:t>
            </w:r>
          </w:p>
        </w:tc>
      </w:tr>
      <w:tr w14:paraId="7EBF4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D1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47BB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3EBE6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78056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B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C4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F2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96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282A4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1F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CDF8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3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7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2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366E4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D1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EA22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2869A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A982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ED85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99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1.绿地基础信息上报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7C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全年按实际信息数量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07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全年按实际信息数量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EE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6B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5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857F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E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77BC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34C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849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2.园林绿化科研活动项目（生物多样性监测）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856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5CD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46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C10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5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CF2B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F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84F2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5841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715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3.古树名木保护次数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5A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1次及以上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8D8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84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61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67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71FC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9F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C96E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0953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455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4.城市绿化主题宣传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BE6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1次及以上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33E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4B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4C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84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6F98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A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DE4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7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7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5.社会绿化管理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5C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A0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B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BE8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D4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8BE9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C4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C7B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9AE0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A47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1.城市园林绿化建设工作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CA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9CD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9AE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DD5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3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D065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FE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6E33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BD5D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2C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2.园林绿化科研活动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E6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F9E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2C0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EBD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7D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68E1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F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98E4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DDA5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50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3.古树名木保护范围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31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完好率100%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3F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完好率100%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A82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498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B1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72F7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AB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6EF9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B42F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E7A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4.绿地基础信息准确录入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08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739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C6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65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8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20F3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54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7386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BC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D2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5.城市绿化主题宣传活动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F87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A7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29A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594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45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6AFA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7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364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CE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F82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年度内完成工作任务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2EE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6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B3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98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69D2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29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E4CE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1E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159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项目年支出金额不超过预算金额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2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≤76万元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7ED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68.45万元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5F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6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91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98CF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2F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C4DF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3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A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01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16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BF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BD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19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8C24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09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3F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B4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C1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8F1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F35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70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3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6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042A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D7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0A7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012E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9AF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2686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E8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经济效益指标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1DF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4D7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52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CE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B6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5E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FC0B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1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84B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FA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2F300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27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提高城市文明和市民幸福指数，提升城市形象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AF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不断提升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44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不断提升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9B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B7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BD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386E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17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36E3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5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08D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4FC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生态环境改善情况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6DB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不断改善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5E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不断改善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E5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66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AF13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6B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7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236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EBE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提升岳阳对外形象和竞争力。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BF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不断提升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E1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不断提升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1F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1D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DB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CD36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0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F2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48FF7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732E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8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5E8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城市市民满意度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94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满意率达95%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0E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C0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A3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80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4B7D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A9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01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F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63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185511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1E5D65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52D423D2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eastAsia="zh-CN"/>
        </w:rPr>
        <w:t>杜思雨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15773010050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br w:type="page"/>
      </w:r>
    </w:p>
    <w:p w14:paraId="736230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3-9</w:t>
      </w:r>
    </w:p>
    <w:p w14:paraId="2A76AF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0B87A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D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321D9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A0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2025年鲜花一条街生产维护管理项目经费　</w:t>
            </w:r>
          </w:p>
        </w:tc>
      </w:tr>
      <w:tr w14:paraId="18C33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8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49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538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2F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岳阳市园林绿化管理中心</w:t>
            </w:r>
          </w:p>
        </w:tc>
      </w:tr>
      <w:tr w14:paraId="60BB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5B0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2B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4D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78687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7E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0F67E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10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6C4C5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7A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F8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29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BA43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1DA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0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E9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B3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0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87.2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65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0A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75.83%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B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7.58</w:t>
            </w:r>
          </w:p>
        </w:tc>
      </w:tr>
      <w:tr w14:paraId="00551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87D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85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BE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6D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0E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87.2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A7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8E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D6A8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111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4E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C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4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24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3E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F5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1D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0933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445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18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EB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FB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5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5C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A7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38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A407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BB2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AC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EE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03E20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6C3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A28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提高城市文明形象，提升市民幸福指数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19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市城区岳阳大道、南湖大道等主干道的鲜花培育、播种、栽植和养护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。</w:t>
            </w:r>
          </w:p>
        </w:tc>
      </w:tr>
      <w:tr w14:paraId="6387A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03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692A2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53EFD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7ED3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F4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6D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6D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65C61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B3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2BAEC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27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E6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03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347D7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E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4436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7297D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B427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0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638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按合同地点完成维护管理项目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CB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岳阳大道、南湖大道两条主干道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14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岳阳大道、南湖大道两条主干道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FA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65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9C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C0CD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F2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186B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1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45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按合同标准完成维护管理工作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E7A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达到合同要求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1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达到合同要求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E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C2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E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05FB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4C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9B1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9D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19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年度完成工作任务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08C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D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90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C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FD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2109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8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3C15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CE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F4A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项目支出金额不超过预算金额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19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≤240万元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439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87.5万元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EC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31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8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AF2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8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9942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6B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970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83E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BDD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6B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19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9A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0907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17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E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50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ED5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D0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40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E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8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51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815A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B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39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5A97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5ACF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21D7F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C9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A4D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83F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26C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9D5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16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11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30CC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30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84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D8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0EAD1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286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对社会效益的影响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87A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76E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E2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B8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8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49FD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76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34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EB1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6B83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759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对生态环境的影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6F1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60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F0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75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40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3EA0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9B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7A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4A1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15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提升岳阳对外形象和竞争力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89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D5F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949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C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60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66F2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1C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4C92B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3B9BE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23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5AB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城市市民满意度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51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满意率达95%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72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46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CE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9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060C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D53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01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85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97.58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9C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4650CE66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eastAsia="zh-CN"/>
        </w:rPr>
        <w:t>杜思雨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15773040050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 w14:paraId="70C4C248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br w:type="page"/>
      </w:r>
    </w:p>
    <w:p w14:paraId="72656D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3-10</w:t>
      </w:r>
    </w:p>
    <w:p w14:paraId="52F6C5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774"/>
        <w:gridCol w:w="927"/>
        <w:gridCol w:w="1418"/>
      </w:tblGrid>
      <w:tr w14:paraId="04784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DF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33472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EE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城市燃气管道老化更新改造工程经费　</w:t>
            </w:r>
          </w:p>
        </w:tc>
      </w:tr>
      <w:tr w14:paraId="32F50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23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95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365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A5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</w:tr>
      <w:tr w14:paraId="1B663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B2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57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9C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00C2C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2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5F2EA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4CBDF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66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D0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E4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2C35C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1B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39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AB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D5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70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DB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49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41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 10</w:t>
            </w:r>
          </w:p>
        </w:tc>
      </w:tr>
      <w:tr w14:paraId="2701C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FF3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17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525.20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52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DC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3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D2E9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C6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8B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56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B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59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A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95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BE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755B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E96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EB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79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A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5E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FD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29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D3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090B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8D8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FD9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85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4FE28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09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0DE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顺利完成城市燃气管道老化更新改造工程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8F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顺利完成了城市燃气管道老化更新改造工程</w:t>
            </w:r>
          </w:p>
        </w:tc>
      </w:tr>
      <w:tr w14:paraId="5F6C0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4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0880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5FB22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EDD1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7B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7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7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C4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41A3A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C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24BA0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D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AA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B0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4102A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E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AA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60044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2A80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88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4F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燃气管道老化更新长度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9B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32公里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34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38公里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A9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D5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F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03EC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62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F8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59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AC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按质完成燃气管道老化更新项目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BE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按质完成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58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按质完成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43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8C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BD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42B7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3D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0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0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8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按时完成燃气管道老化更新项目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6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按时完成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FC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按时完成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A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A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6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BC31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5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8C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14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B1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经济成本指标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50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实际支出不超过预算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BE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未超过预算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3B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95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E4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5DD5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6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9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B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EA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社会成本指标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B0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对社会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产生的负面影响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40E52">
            <w:pPr>
              <w:keepNext w:val="0"/>
              <w:keepLines w:val="0"/>
              <w:pageBreakBefore w:val="0"/>
              <w:widowControl w:val="0"/>
              <w:tabs>
                <w:tab w:val="left" w:pos="3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无负面影响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A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ED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FDEE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F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B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3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1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生态环境成本指标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7C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对生态环境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产生的负面影响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1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无负面影响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31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2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33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500B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4D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BE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17F5A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3353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0A97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2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0200F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FB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无直接经济效益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2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无直接经济效益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79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无直接经济效益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8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EE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2B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D9EC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EE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2C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80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365AE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03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提高居民用气安全指数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7D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用气安全指数有所提高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8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有所提高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21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CE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1A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55E7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32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4F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21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0E68E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5B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无直接生态效益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2A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无直接生态效益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2E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无直接生态效益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83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C4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0D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32F8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D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63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84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6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增强居民生活幸福指数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92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产生可持续影响力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60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具有可持续影响力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84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AC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3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8600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73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30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60452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22833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F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BD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群众满意度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7C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≥95%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AA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97%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7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FA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A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0405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F50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8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D1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7A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DBFC4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1C4E126F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647F5AFE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br w:type="page"/>
      </w:r>
    </w:p>
    <w:p w14:paraId="3A9D192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3-11</w:t>
      </w:r>
    </w:p>
    <w:p w14:paraId="26F961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174BE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2DE91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5CC1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319E8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其他事务管理经费（赔偿款）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15C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center"/>
          </w:tcPr>
          <w:p w14:paraId="238C9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5344F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8292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43116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</w:tr>
      <w:tr w14:paraId="4E7AF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465D9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475DB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noWrap w:val="0"/>
            <w:vAlign w:val="center"/>
          </w:tcPr>
          <w:p w14:paraId="343AE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50C86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460B2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70AB7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57524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3B41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176AA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51C45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5E34A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4EC9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CD7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8E1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noWrap w:val="0"/>
            <w:vAlign w:val="center"/>
          </w:tcPr>
          <w:p w14:paraId="0FDAD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1134" w:type="dxa"/>
            <w:noWrap w:val="0"/>
            <w:vAlign w:val="center"/>
          </w:tcPr>
          <w:p w14:paraId="7EED5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1134" w:type="dxa"/>
            <w:noWrap w:val="0"/>
            <w:vAlign w:val="center"/>
          </w:tcPr>
          <w:p w14:paraId="52B11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828" w:type="dxa"/>
            <w:noWrap w:val="0"/>
            <w:vAlign w:val="center"/>
          </w:tcPr>
          <w:p w14:paraId="719E8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830D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36BD9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433C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792C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9EF5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noWrap w:val="0"/>
            <w:vAlign w:val="center"/>
          </w:tcPr>
          <w:p w14:paraId="3DBE5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1134" w:type="dxa"/>
            <w:noWrap w:val="0"/>
            <w:vAlign w:val="center"/>
          </w:tcPr>
          <w:p w14:paraId="7825B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1134" w:type="dxa"/>
            <w:noWrap w:val="0"/>
            <w:vAlign w:val="center"/>
          </w:tcPr>
          <w:p w14:paraId="57F0D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</w:t>
            </w:r>
          </w:p>
        </w:tc>
        <w:tc>
          <w:tcPr>
            <w:tcW w:w="828" w:type="dxa"/>
            <w:noWrap w:val="0"/>
            <w:vAlign w:val="center"/>
          </w:tcPr>
          <w:p w14:paraId="74123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CD4E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1DB2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E5B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C452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A7B3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noWrap w:val="0"/>
            <w:vAlign w:val="center"/>
          </w:tcPr>
          <w:p w14:paraId="3430E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F633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208C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9338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6DCE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1114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961F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BCF2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1FE2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noWrap w:val="0"/>
            <w:vAlign w:val="center"/>
          </w:tcPr>
          <w:p w14:paraId="67EE2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1037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F5BB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44AA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81C8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D688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6767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8C2B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4BBEC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3A3E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113D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C5C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5FA3A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根据法院诉讼结果及时足额支付赔偿款。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0021C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根据法院诉讼结果及时足额完成了赔偿款支付。</w:t>
            </w:r>
          </w:p>
        </w:tc>
      </w:tr>
      <w:tr w14:paraId="4EF5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AF23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2AB0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5DC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3BEF0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7D712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24CF2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noWrap w:val="0"/>
            <w:vAlign w:val="center"/>
          </w:tcPr>
          <w:p w14:paraId="743D1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noWrap w:val="0"/>
            <w:vAlign w:val="center"/>
          </w:tcPr>
          <w:p w14:paraId="1E5C2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26542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2C29A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56624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3B5CA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78FB3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76F4C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9D0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8551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07F0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0EE27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C4CC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noWrap w:val="0"/>
            <w:vAlign w:val="center"/>
          </w:tcPr>
          <w:p w14:paraId="35939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noWrap w:val="0"/>
            <w:vAlign w:val="center"/>
          </w:tcPr>
          <w:p w14:paraId="5FA68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赔付相关人员</w:t>
            </w:r>
          </w:p>
        </w:tc>
        <w:tc>
          <w:tcPr>
            <w:tcW w:w="1134" w:type="dxa"/>
            <w:noWrap w:val="0"/>
            <w:vAlign w:val="center"/>
          </w:tcPr>
          <w:p w14:paraId="64BAD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赔付相关人员</w:t>
            </w:r>
          </w:p>
        </w:tc>
        <w:tc>
          <w:tcPr>
            <w:tcW w:w="1134" w:type="dxa"/>
            <w:noWrap w:val="0"/>
            <w:vAlign w:val="center"/>
          </w:tcPr>
          <w:p w14:paraId="4F597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赔付相关人员</w:t>
            </w:r>
          </w:p>
        </w:tc>
        <w:tc>
          <w:tcPr>
            <w:tcW w:w="828" w:type="dxa"/>
            <w:noWrap w:val="0"/>
            <w:vAlign w:val="center"/>
          </w:tcPr>
          <w:p w14:paraId="4530C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73" w:type="dxa"/>
            <w:noWrap w:val="0"/>
            <w:vAlign w:val="center"/>
          </w:tcPr>
          <w:p w14:paraId="1F7E4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477D0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D98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B8C3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C653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0B2C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noWrap w:val="0"/>
            <w:vAlign w:val="center"/>
          </w:tcPr>
          <w:p w14:paraId="4FD8A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按质完成任务</w:t>
            </w:r>
          </w:p>
        </w:tc>
        <w:tc>
          <w:tcPr>
            <w:tcW w:w="1134" w:type="dxa"/>
            <w:noWrap w:val="0"/>
            <w:vAlign w:val="center"/>
          </w:tcPr>
          <w:p w14:paraId="5105E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按质完成</w:t>
            </w:r>
          </w:p>
        </w:tc>
        <w:tc>
          <w:tcPr>
            <w:tcW w:w="1134" w:type="dxa"/>
            <w:noWrap w:val="0"/>
            <w:vAlign w:val="center"/>
          </w:tcPr>
          <w:p w14:paraId="16798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按质完成</w:t>
            </w:r>
          </w:p>
        </w:tc>
        <w:tc>
          <w:tcPr>
            <w:tcW w:w="828" w:type="dxa"/>
            <w:noWrap w:val="0"/>
            <w:vAlign w:val="center"/>
          </w:tcPr>
          <w:p w14:paraId="055AA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73" w:type="dxa"/>
            <w:noWrap w:val="0"/>
            <w:vAlign w:val="center"/>
          </w:tcPr>
          <w:p w14:paraId="49799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5D4C1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043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80A7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368D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70CA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noWrap w:val="0"/>
            <w:vAlign w:val="center"/>
          </w:tcPr>
          <w:p w14:paraId="5F443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1134" w:type="dxa"/>
            <w:noWrap w:val="0"/>
            <w:vAlign w:val="center"/>
          </w:tcPr>
          <w:p w14:paraId="62975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1134" w:type="dxa"/>
            <w:noWrap w:val="0"/>
            <w:vAlign w:val="center"/>
          </w:tcPr>
          <w:p w14:paraId="35788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及时完成任务</w:t>
            </w:r>
          </w:p>
        </w:tc>
        <w:tc>
          <w:tcPr>
            <w:tcW w:w="828" w:type="dxa"/>
            <w:noWrap w:val="0"/>
            <w:vAlign w:val="center"/>
          </w:tcPr>
          <w:p w14:paraId="65CE0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873" w:type="dxa"/>
            <w:noWrap w:val="0"/>
            <w:vAlign w:val="center"/>
          </w:tcPr>
          <w:p w14:paraId="3843D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5D520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049F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A87C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12D9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6B774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noWrap w:val="0"/>
            <w:vAlign w:val="center"/>
          </w:tcPr>
          <w:p w14:paraId="5889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控制在预算内</w:t>
            </w:r>
          </w:p>
        </w:tc>
        <w:tc>
          <w:tcPr>
            <w:tcW w:w="1134" w:type="dxa"/>
            <w:noWrap w:val="0"/>
            <w:vAlign w:val="center"/>
          </w:tcPr>
          <w:p w14:paraId="45205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≤60.71万元</w:t>
            </w:r>
          </w:p>
        </w:tc>
        <w:tc>
          <w:tcPr>
            <w:tcW w:w="1134" w:type="dxa"/>
            <w:noWrap w:val="0"/>
            <w:vAlign w:val="center"/>
          </w:tcPr>
          <w:p w14:paraId="2A8AB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60.71万元</w:t>
            </w:r>
          </w:p>
        </w:tc>
        <w:tc>
          <w:tcPr>
            <w:tcW w:w="828" w:type="dxa"/>
            <w:noWrap w:val="0"/>
            <w:vAlign w:val="center"/>
          </w:tcPr>
          <w:p w14:paraId="74780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73" w:type="dxa"/>
            <w:noWrap w:val="0"/>
            <w:vAlign w:val="center"/>
          </w:tcPr>
          <w:p w14:paraId="3D888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75E3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A66D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2B75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CB9C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1E89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1C0BC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134" w:type="dxa"/>
            <w:noWrap w:val="0"/>
            <w:vAlign w:val="center"/>
          </w:tcPr>
          <w:p w14:paraId="31CE7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noWrap w:val="0"/>
            <w:vAlign w:val="center"/>
          </w:tcPr>
          <w:p w14:paraId="5603F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noWrap w:val="0"/>
            <w:vAlign w:val="center"/>
          </w:tcPr>
          <w:p w14:paraId="5A2EF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73" w:type="dxa"/>
            <w:noWrap w:val="0"/>
            <w:vAlign w:val="center"/>
          </w:tcPr>
          <w:p w14:paraId="68D03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1C7A6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743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FF31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58C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1728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4969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对自然环境可能造成的负面影响</w:t>
            </w:r>
          </w:p>
        </w:tc>
        <w:tc>
          <w:tcPr>
            <w:tcW w:w="1134" w:type="dxa"/>
            <w:noWrap w:val="0"/>
            <w:vAlign w:val="center"/>
          </w:tcPr>
          <w:p w14:paraId="16551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noWrap w:val="0"/>
            <w:vAlign w:val="center"/>
          </w:tcPr>
          <w:p w14:paraId="68154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noWrap w:val="0"/>
            <w:vAlign w:val="center"/>
          </w:tcPr>
          <w:p w14:paraId="771FC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73" w:type="dxa"/>
            <w:noWrap w:val="0"/>
            <w:vAlign w:val="center"/>
          </w:tcPr>
          <w:p w14:paraId="7E362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226F4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ECB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78A1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177D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56A6B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78F0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6F8FE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noWrap w:val="0"/>
            <w:vAlign w:val="center"/>
          </w:tcPr>
          <w:p w14:paraId="6F6E5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6B3E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0335C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134" w:type="dxa"/>
            <w:noWrap w:val="0"/>
            <w:vAlign w:val="center"/>
          </w:tcPr>
          <w:p w14:paraId="3D92C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134" w:type="dxa"/>
            <w:noWrap w:val="0"/>
            <w:vAlign w:val="center"/>
          </w:tcPr>
          <w:p w14:paraId="1C550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828" w:type="dxa"/>
            <w:noWrap w:val="0"/>
            <w:vAlign w:val="center"/>
          </w:tcPr>
          <w:p w14:paraId="4F613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4586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A83F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FB3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8190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116F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23A5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6874B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21977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1134" w:type="dxa"/>
            <w:noWrap w:val="0"/>
            <w:vAlign w:val="center"/>
          </w:tcPr>
          <w:p w14:paraId="030A2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1134" w:type="dxa"/>
            <w:noWrap w:val="0"/>
            <w:vAlign w:val="center"/>
          </w:tcPr>
          <w:p w14:paraId="49A2C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保障军转干部民生</w:t>
            </w:r>
          </w:p>
        </w:tc>
        <w:tc>
          <w:tcPr>
            <w:tcW w:w="828" w:type="dxa"/>
            <w:noWrap w:val="0"/>
            <w:vAlign w:val="center"/>
          </w:tcPr>
          <w:p w14:paraId="0E1E3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09207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B610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303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164D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5EC1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9870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C6C0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noWrap w:val="0"/>
            <w:vAlign w:val="center"/>
          </w:tcPr>
          <w:p w14:paraId="5AA77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1134" w:type="dxa"/>
            <w:noWrap w:val="0"/>
            <w:vAlign w:val="center"/>
          </w:tcPr>
          <w:p w14:paraId="2D80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1134" w:type="dxa"/>
            <w:noWrap w:val="0"/>
            <w:vAlign w:val="center"/>
          </w:tcPr>
          <w:p w14:paraId="44CA0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无生态效益</w:t>
            </w:r>
          </w:p>
        </w:tc>
        <w:tc>
          <w:tcPr>
            <w:tcW w:w="828" w:type="dxa"/>
            <w:noWrap w:val="0"/>
            <w:vAlign w:val="center"/>
          </w:tcPr>
          <w:p w14:paraId="06D83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 w14:paraId="76108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noWrap w:val="0"/>
            <w:vAlign w:val="center"/>
          </w:tcPr>
          <w:p w14:paraId="43298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CD3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74F3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23E8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C9F8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noWrap w:val="0"/>
            <w:vAlign w:val="center"/>
          </w:tcPr>
          <w:p w14:paraId="03F04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1134" w:type="dxa"/>
            <w:noWrap w:val="0"/>
            <w:vAlign w:val="center"/>
          </w:tcPr>
          <w:p w14:paraId="6187D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1134" w:type="dxa"/>
            <w:noWrap w:val="0"/>
            <w:vAlign w:val="center"/>
          </w:tcPr>
          <w:p w14:paraId="30885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保障工作任务顺利开展并完成</w:t>
            </w:r>
          </w:p>
        </w:tc>
        <w:tc>
          <w:tcPr>
            <w:tcW w:w="828" w:type="dxa"/>
            <w:noWrap w:val="0"/>
            <w:vAlign w:val="center"/>
          </w:tcPr>
          <w:p w14:paraId="51D88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57C6C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BA4A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ED6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9070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5EF6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1B19A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46481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noWrap w:val="0"/>
            <w:vAlign w:val="center"/>
          </w:tcPr>
          <w:p w14:paraId="30383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noWrap w:val="0"/>
            <w:vAlign w:val="center"/>
          </w:tcPr>
          <w:p w14:paraId="79C01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群众满意度</w:t>
            </w:r>
          </w:p>
        </w:tc>
        <w:tc>
          <w:tcPr>
            <w:tcW w:w="1134" w:type="dxa"/>
            <w:noWrap w:val="0"/>
            <w:vAlign w:val="center"/>
          </w:tcPr>
          <w:p w14:paraId="6329D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134" w:type="dxa"/>
            <w:noWrap w:val="0"/>
            <w:vAlign w:val="center"/>
          </w:tcPr>
          <w:p w14:paraId="64273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828" w:type="dxa"/>
            <w:noWrap w:val="0"/>
            <w:vAlign w:val="center"/>
          </w:tcPr>
          <w:p w14:paraId="0706A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5F143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4702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4B1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2146D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6EC4A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5B90C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128FB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1FE3D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3146915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5E85DA56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73725D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3E860D2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3-12</w:t>
      </w:r>
    </w:p>
    <w:p w14:paraId="7C508DD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061"/>
        <w:gridCol w:w="929"/>
        <w:gridCol w:w="1635"/>
        <w:gridCol w:w="1350"/>
        <w:gridCol w:w="1290"/>
        <w:gridCol w:w="720"/>
        <w:gridCol w:w="720"/>
        <w:gridCol w:w="1085"/>
      </w:tblGrid>
      <w:tr w14:paraId="71D9B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noWrap w:val="0"/>
            <w:vAlign w:val="center"/>
          </w:tcPr>
          <w:p w14:paraId="25707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4D02B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90" w:type="dxa"/>
            <w:gridSpan w:val="8"/>
            <w:shd w:val="clear" w:color="auto" w:fill="auto"/>
            <w:noWrap w:val="0"/>
            <w:vAlign w:val="center"/>
          </w:tcPr>
          <w:p w14:paraId="79F8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旅发大会市容市貌提质改造项目</w:t>
            </w:r>
          </w:p>
        </w:tc>
      </w:tr>
      <w:tr w14:paraId="52B48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noWrap w:val="0"/>
            <w:vAlign w:val="center"/>
          </w:tcPr>
          <w:p w14:paraId="2D324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975" w:type="dxa"/>
            <w:gridSpan w:val="4"/>
            <w:noWrap w:val="0"/>
            <w:vAlign w:val="center"/>
          </w:tcPr>
          <w:p w14:paraId="0F902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90" w:type="dxa"/>
            <w:noWrap w:val="0"/>
            <w:vAlign w:val="center"/>
          </w:tcPr>
          <w:p w14:paraId="7B6F8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525" w:type="dxa"/>
            <w:gridSpan w:val="3"/>
            <w:noWrap w:val="0"/>
            <w:vAlign w:val="center"/>
          </w:tcPr>
          <w:p w14:paraId="6C1E5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</w:p>
        </w:tc>
      </w:tr>
      <w:tr w14:paraId="78EDD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noWrap w:val="0"/>
            <w:vAlign w:val="center"/>
          </w:tcPr>
          <w:p w14:paraId="55BCA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 w14:paraId="22DF3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635" w:type="dxa"/>
            <w:noWrap w:val="0"/>
            <w:vAlign w:val="center"/>
          </w:tcPr>
          <w:p w14:paraId="7408F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5502D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350" w:type="dxa"/>
            <w:noWrap w:val="0"/>
            <w:vAlign w:val="center"/>
          </w:tcPr>
          <w:p w14:paraId="601B0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7A014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290" w:type="dxa"/>
            <w:noWrap w:val="0"/>
            <w:vAlign w:val="center"/>
          </w:tcPr>
          <w:p w14:paraId="6CC1B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2B1B5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720" w:type="dxa"/>
            <w:noWrap w:val="0"/>
            <w:vAlign w:val="center"/>
          </w:tcPr>
          <w:p w14:paraId="499FB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20" w:type="dxa"/>
            <w:noWrap w:val="0"/>
            <w:vAlign w:val="center"/>
          </w:tcPr>
          <w:p w14:paraId="1C9E0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085" w:type="dxa"/>
            <w:noWrap w:val="0"/>
            <w:vAlign w:val="center"/>
          </w:tcPr>
          <w:p w14:paraId="3BFBA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7358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737AD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90" w:type="dxa"/>
            <w:gridSpan w:val="2"/>
            <w:noWrap w:val="0"/>
            <w:vAlign w:val="center"/>
          </w:tcPr>
          <w:p w14:paraId="3AF3C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635" w:type="dxa"/>
            <w:noWrap w:val="0"/>
            <w:vAlign w:val="center"/>
          </w:tcPr>
          <w:p w14:paraId="1CB10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14056.21</w:t>
            </w:r>
          </w:p>
        </w:tc>
        <w:tc>
          <w:tcPr>
            <w:tcW w:w="1350" w:type="dxa"/>
            <w:noWrap w:val="0"/>
            <w:vAlign w:val="center"/>
          </w:tcPr>
          <w:p w14:paraId="0D7B4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14056.21</w:t>
            </w:r>
          </w:p>
        </w:tc>
        <w:tc>
          <w:tcPr>
            <w:tcW w:w="1290" w:type="dxa"/>
            <w:noWrap w:val="0"/>
            <w:vAlign w:val="center"/>
          </w:tcPr>
          <w:p w14:paraId="1B12AD53">
            <w:pPr>
              <w:keepNext w:val="0"/>
              <w:keepLines w:val="0"/>
              <w:pageBreakBefore w:val="0"/>
              <w:widowControl w:val="0"/>
              <w:tabs>
                <w:tab w:val="center" w:pos="4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13545.19</w:t>
            </w:r>
          </w:p>
        </w:tc>
        <w:tc>
          <w:tcPr>
            <w:tcW w:w="720" w:type="dxa"/>
            <w:noWrap w:val="0"/>
            <w:vAlign w:val="center"/>
          </w:tcPr>
          <w:p w14:paraId="1AF12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20" w:type="dxa"/>
            <w:noWrap w:val="0"/>
            <w:vAlign w:val="center"/>
          </w:tcPr>
          <w:p w14:paraId="71A64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96.36%</w:t>
            </w:r>
          </w:p>
        </w:tc>
        <w:tc>
          <w:tcPr>
            <w:tcW w:w="1085" w:type="dxa"/>
            <w:noWrap w:val="0"/>
            <w:vAlign w:val="center"/>
          </w:tcPr>
          <w:p w14:paraId="681A6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9.64</w:t>
            </w:r>
          </w:p>
        </w:tc>
      </w:tr>
      <w:tr w14:paraId="4050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7157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90" w:type="dxa"/>
            <w:gridSpan w:val="2"/>
            <w:noWrap w:val="0"/>
            <w:vAlign w:val="center"/>
          </w:tcPr>
          <w:p w14:paraId="238AC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635" w:type="dxa"/>
            <w:noWrap w:val="0"/>
            <w:vAlign w:val="center"/>
          </w:tcPr>
          <w:p w14:paraId="25F7C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14056.21</w:t>
            </w:r>
          </w:p>
        </w:tc>
        <w:tc>
          <w:tcPr>
            <w:tcW w:w="1350" w:type="dxa"/>
            <w:noWrap w:val="0"/>
            <w:vAlign w:val="center"/>
          </w:tcPr>
          <w:p w14:paraId="6792B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14056.21</w:t>
            </w:r>
          </w:p>
        </w:tc>
        <w:tc>
          <w:tcPr>
            <w:tcW w:w="1290" w:type="dxa"/>
            <w:noWrap w:val="0"/>
            <w:vAlign w:val="center"/>
          </w:tcPr>
          <w:p w14:paraId="7A2DBD7F">
            <w:pPr>
              <w:keepNext w:val="0"/>
              <w:keepLines w:val="0"/>
              <w:pageBreakBefore w:val="0"/>
              <w:widowControl w:val="0"/>
              <w:tabs>
                <w:tab w:val="center" w:pos="4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13545.19</w:t>
            </w:r>
          </w:p>
        </w:tc>
        <w:tc>
          <w:tcPr>
            <w:tcW w:w="720" w:type="dxa"/>
            <w:noWrap w:val="0"/>
            <w:vAlign w:val="center"/>
          </w:tcPr>
          <w:p w14:paraId="2CD7E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7332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08FFC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6BA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5F34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90" w:type="dxa"/>
            <w:gridSpan w:val="2"/>
            <w:noWrap w:val="0"/>
            <w:vAlign w:val="center"/>
          </w:tcPr>
          <w:p w14:paraId="70AF5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635" w:type="dxa"/>
            <w:noWrap w:val="0"/>
            <w:vAlign w:val="center"/>
          </w:tcPr>
          <w:p w14:paraId="72C07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22C7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68AF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57A8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BE4E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4D1B8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6BA3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93FA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990" w:type="dxa"/>
            <w:gridSpan w:val="2"/>
            <w:noWrap w:val="0"/>
            <w:vAlign w:val="center"/>
          </w:tcPr>
          <w:p w14:paraId="5D5CE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635" w:type="dxa"/>
            <w:noWrap w:val="0"/>
            <w:vAlign w:val="center"/>
          </w:tcPr>
          <w:p w14:paraId="68FE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50" w:type="dxa"/>
            <w:noWrap w:val="0"/>
            <w:vAlign w:val="center"/>
          </w:tcPr>
          <w:p w14:paraId="678D8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90" w:type="dxa"/>
            <w:noWrap w:val="0"/>
            <w:vAlign w:val="center"/>
          </w:tcPr>
          <w:p w14:paraId="1BFC8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 w14:paraId="289BD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 w14:paraId="319E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5" w:type="dxa"/>
            <w:noWrap w:val="0"/>
            <w:vAlign w:val="center"/>
          </w:tcPr>
          <w:p w14:paraId="192F3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2CE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noWrap w:val="0"/>
            <w:vAlign w:val="center"/>
          </w:tcPr>
          <w:p w14:paraId="39B7A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975" w:type="dxa"/>
            <w:gridSpan w:val="4"/>
            <w:noWrap w:val="0"/>
            <w:vAlign w:val="center"/>
          </w:tcPr>
          <w:p w14:paraId="459F9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815" w:type="dxa"/>
            <w:gridSpan w:val="4"/>
            <w:noWrap w:val="0"/>
            <w:vAlign w:val="center"/>
          </w:tcPr>
          <w:p w14:paraId="2207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1951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1149A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975" w:type="dxa"/>
            <w:gridSpan w:val="4"/>
            <w:noWrap w:val="0"/>
            <w:vAlign w:val="center"/>
          </w:tcPr>
          <w:p w14:paraId="6D859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15"/>
                <w:szCs w:val="15"/>
              </w:rPr>
              <w:t>根据第四届湖南旅游发展大会岳阳市执行委员会办公室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eastAsia="zh-CN"/>
              </w:rPr>
              <w:t>《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关于印发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</w:rPr>
              <w:t>〈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岳阳市承办第四届湖南旅游发展大会重点项目清单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</w:rPr>
              <w:t>〉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eastAsia="zh-CN"/>
              </w:rPr>
              <w:t>的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通知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eastAsia="zh-CN"/>
              </w:rPr>
              <w:t>》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要求，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val="en-US" w:eastAsia="zh-CN"/>
              </w:rPr>
              <w:t>完成：1、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市容市貌提质改造项目（市本级）道路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val="en-US" w:eastAsia="zh-CN"/>
              </w:rPr>
              <w:t>大修）-洞庭大道等4条路提质改造；2、</w:t>
            </w:r>
            <w:r>
              <w:rPr>
                <w:rFonts w:hint="eastAsia" w:ascii="仿宋_GB2312" w:hAnsi="仿宋_GB2312" w:eastAsia="仿宋_GB2312"/>
                <w:sz w:val="15"/>
                <w:szCs w:val="15"/>
              </w:rPr>
              <w:t>道路提质</w:t>
            </w:r>
            <w:r>
              <w:rPr>
                <w:rFonts w:hint="eastAsia" w:ascii="仿宋_GB2312" w:hAnsi="仿宋_GB2312" w:eastAsia="仿宋_GB2312"/>
                <w:sz w:val="15"/>
                <w:szCs w:val="15"/>
                <w:lang w:val="en-US" w:eastAsia="zh-CN"/>
              </w:rPr>
              <w:t>（翻新）工程；3、景观照明：对主要道路、重要节点夜景提质改造；4、桥梁、隧道涂装翻新；5、市中心城区户外广告拆除项目；6、市中心城区广告设计、制作、发布项目；7、市主城区文化护栏和标线更新项目　</w:t>
            </w:r>
          </w:p>
        </w:tc>
        <w:tc>
          <w:tcPr>
            <w:tcW w:w="3815" w:type="dxa"/>
            <w:gridSpan w:val="4"/>
            <w:noWrap w:val="0"/>
            <w:vAlign w:val="center"/>
          </w:tcPr>
          <w:p w14:paraId="5F1F3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15"/>
                <w:szCs w:val="15"/>
                <w:lang w:val="en-US" w:eastAsia="zh-CN"/>
              </w:rPr>
              <w:t>已按执委会通知要求100%完成：4条道路大修提质改造；8条道路翻新提质改造；城区主要道路、重要节点夜景提质改造；城区10座城市桥梁防护栏和金鹗隧道涂装翻新，对朝阳小学等10座人行天桥除锈刷漆；户外广告拆除；广告设计、制作及发布项目；文化护栏和标线更新项目</w:t>
            </w:r>
          </w:p>
        </w:tc>
      </w:tr>
      <w:tr w14:paraId="6969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noWrap w:val="0"/>
            <w:vAlign w:val="center"/>
          </w:tcPr>
          <w:p w14:paraId="5AA80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571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46343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403BA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61" w:type="dxa"/>
            <w:noWrap w:val="0"/>
            <w:vAlign w:val="center"/>
          </w:tcPr>
          <w:p w14:paraId="6D8AD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929" w:type="dxa"/>
            <w:noWrap w:val="0"/>
            <w:vAlign w:val="center"/>
          </w:tcPr>
          <w:p w14:paraId="70D24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635" w:type="dxa"/>
            <w:noWrap w:val="0"/>
            <w:vAlign w:val="center"/>
          </w:tcPr>
          <w:p w14:paraId="6DD84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50" w:type="dxa"/>
            <w:noWrap w:val="0"/>
            <w:vAlign w:val="center"/>
          </w:tcPr>
          <w:p w14:paraId="4962D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77283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90" w:type="dxa"/>
            <w:noWrap w:val="0"/>
            <w:vAlign w:val="center"/>
          </w:tcPr>
          <w:p w14:paraId="4A59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2F9C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20" w:type="dxa"/>
            <w:noWrap w:val="0"/>
            <w:vAlign w:val="center"/>
          </w:tcPr>
          <w:p w14:paraId="33425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20" w:type="dxa"/>
            <w:noWrap w:val="0"/>
            <w:vAlign w:val="center"/>
          </w:tcPr>
          <w:p w14:paraId="06191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085" w:type="dxa"/>
            <w:noWrap w:val="0"/>
            <w:vAlign w:val="center"/>
          </w:tcPr>
          <w:p w14:paraId="7FD53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54E5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04A8D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noWrap w:val="0"/>
            <w:vAlign w:val="center"/>
          </w:tcPr>
          <w:p w14:paraId="0BE0C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23FF2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2E38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929" w:type="dxa"/>
            <w:vMerge w:val="restart"/>
            <w:noWrap w:val="0"/>
            <w:vAlign w:val="center"/>
          </w:tcPr>
          <w:p w14:paraId="58073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635" w:type="dxa"/>
            <w:noWrap w:val="0"/>
            <w:vAlign w:val="center"/>
          </w:tcPr>
          <w:p w14:paraId="7A9B8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道路大修提质</w:t>
            </w:r>
          </w:p>
        </w:tc>
        <w:tc>
          <w:tcPr>
            <w:tcW w:w="1350" w:type="dxa"/>
            <w:noWrap w:val="0"/>
            <w:vAlign w:val="center"/>
          </w:tcPr>
          <w:p w14:paraId="525D341B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4条</w:t>
            </w:r>
          </w:p>
        </w:tc>
        <w:tc>
          <w:tcPr>
            <w:tcW w:w="1290" w:type="dxa"/>
            <w:noWrap w:val="0"/>
            <w:vAlign w:val="center"/>
          </w:tcPr>
          <w:p w14:paraId="4C199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4条</w:t>
            </w:r>
          </w:p>
        </w:tc>
        <w:tc>
          <w:tcPr>
            <w:tcW w:w="720" w:type="dxa"/>
            <w:noWrap w:val="0"/>
            <w:vAlign w:val="center"/>
          </w:tcPr>
          <w:p w14:paraId="3B25C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DFA8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4700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29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09255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5DBA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17E0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3A8A2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道路提质翻新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629DE020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8条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ADD3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8条</w:t>
            </w:r>
          </w:p>
        </w:tc>
        <w:tc>
          <w:tcPr>
            <w:tcW w:w="720" w:type="dxa"/>
            <w:noWrap w:val="0"/>
            <w:vAlign w:val="center"/>
          </w:tcPr>
          <w:p w14:paraId="5E9B3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907E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25B5E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D802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16F8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745F9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6F56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18FA4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景观照明提质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0E19E221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城区主要道路、重要节点夜景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3AC5105"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城区主要道路、重要节点夜景</w:t>
            </w:r>
          </w:p>
        </w:tc>
        <w:tc>
          <w:tcPr>
            <w:tcW w:w="720" w:type="dxa"/>
            <w:noWrap w:val="0"/>
            <w:vAlign w:val="center"/>
          </w:tcPr>
          <w:p w14:paraId="6ED79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0C8F2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22A16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50BB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E646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3492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1404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47793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桥梁、隧道涂装翻新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939EAEF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10座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8B73F4B"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0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10座</w:t>
            </w:r>
          </w:p>
        </w:tc>
        <w:tc>
          <w:tcPr>
            <w:tcW w:w="720" w:type="dxa"/>
            <w:noWrap w:val="0"/>
            <w:vAlign w:val="center"/>
          </w:tcPr>
          <w:p w14:paraId="0BE8E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3AA6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2082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5CE8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7D1A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4B8B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1FEF7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5CBFD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拆除广告屏数量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67C8499A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160处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19B0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349处</w:t>
            </w:r>
          </w:p>
        </w:tc>
        <w:tc>
          <w:tcPr>
            <w:tcW w:w="720" w:type="dxa"/>
            <w:noWrap w:val="0"/>
            <w:vAlign w:val="center"/>
          </w:tcPr>
          <w:p w14:paraId="664D2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777AF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775DA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A49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6448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3D23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43068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1F9F6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更换文化护栏道路条数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2C09EC16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11条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2CC6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13条</w:t>
            </w:r>
          </w:p>
        </w:tc>
        <w:tc>
          <w:tcPr>
            <w:tcW w:w="720" w:type="dxa"/>
            <w:noWrap w:val="0"/>
            <w:vAlign w:val="center"/>
          </w:tcPr>
          <w:p w14:paraId="16CC5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6753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7223D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52AE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2CC66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DFC6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44135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C3B3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施划标线道路条数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1C781A8A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10条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0E815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10条</w:t>
            </w:r>
          </w:p>
        </w:tc>
        <w:tc>
          <w:tcPr>
            <w:tcW w:w="720" w:type="dxa"/>
            <w:noWrap w:val="0"/>
            <w:vAlign w:val="center"/>
          </w:tcPr>
          <w:p w14:paraId="3835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6B59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B5FA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BE7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94CA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7F2F4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5A5BD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3A422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智慧公厕修建数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05ED9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2座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C1AD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2座</w:t>
            </w:r>
          </w:p>
        </w:tc>
        <w:tc>
          <w:tcPr>
            <w:tcW w:w="720" w:type="dxa"/>
            <w:noWrap w:val="0"/>
            <w:vAlign w:val="center"/>
          </w:tcPr>
          <w:p w14:paraId="041D0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3C7C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3A52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85A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21163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4568C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71C39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8BA8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智慧公交驿站修建数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1363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2座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777B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2座</w:t>
            </w:r>
          </w:p>
        </w:tc>
        <w:tc>
          <w:tcPr>
            <w:tcW w:w="720" w:type="dxa"/>
            <w:noWrap w:val="0"/>
            <w:vAlign w:val="center"/>
          </w:tcPr>
          <w:p w14:paraId="35D87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8206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470CD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326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44831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7DA9E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restart"/>
            <w:noWrap w:val="0"/>
            <w:vAlign w:val="center"/>
          </w:tcPr>
          <w:p w14:paraId="4BF68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635" w:type="dxa"/>
            <w:noWrap w:val="0"/>
            <w:vAlign w:val="center"/>
          </w:tcPr>
          <w:p w14:paraId="1330B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  <w:t>阶段性工程验收合格率</w:t>
            </w:r>
          </w:p>
        </w:tc>
        <w:tc>
          <w:tcPr>
            <w:tcW w:w="1350" w:type="dxa"/>
            <w:noWrap w:val="0"/>
            <w:vAlign w:val="center"/>
          </w:tcPr>
          <w:p w14:paraId="5E876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90" w:type="dxa"/>
            <w:noWrap w:val="0"/>
            <w:vAlign w:val="center"/>
          </w:tcPr>
          <w:p w14:paraId="3A5E9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720" w:type="dxa"/>
            <w:noWrap w:val="0"/>
            <w:vAlign w:val="center"/>
          </w:tcPr>
          <w:p w14:paraId="1DDAC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70A5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749A2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771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4A499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4F5B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0EDD3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D307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  <w:t>在建过程发生重大质量事故</w:t>
            </w:r>
          </w:p>
        </w:tc>
        <w:tc>
          <w:tcPr>
            <w:tcW w:w="1350" w:type="dxa"/>
            <w:noWrap w:val="0"/>
            <w:vAlign w:val="center"/>
          </w:tcPr>
          <w:p w14:paraId="042C6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90" w:type="dxa"/>
            <w:noWrap w:val="0"/>
            <w:vAlign w:val="center"/>
          </w:tcPr>
          <w:p w14:paraId="64432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noWrap w:val="0"/>
            <w:vAlign w:val="center"/>
          </w:tcPr>
          <w:p w14:paraId="0045B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C1F5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4424F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8E92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147B6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4E0E7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07590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3364D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  <w:t>广告拆除验收合格率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17137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C746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720" w:type="dxa"/>
            <w:noWrap w:val="0"/>
            <w:vAlign w:val="center"/>
          </w:tcPr>
          <w:p w14:paraId="3C3F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CC14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076E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BD8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15421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29CDF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0331B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2D88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18"/>
                <w:szCs w:val="18"/>
                <w:lang w:val="en-US" w:eastAsia="zh-CN"/>
              </w:rPr>
              <w:t>拆除过程安全事故数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778A3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279E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14E3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5C244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4EA8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2E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44E3F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39829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20783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7710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t>标线质量验收合格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39CF4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756D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7A91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5433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71E9D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964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40AF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0EC01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75A99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68483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t>护栏安装质量验收合格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856E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271F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B4A2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32B3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1840A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B45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7831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119D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51BC6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354B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智慧公厕和智慧公交驿站符合合同要求并完成验收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0EC5B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符合合同要求并完成验收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12B65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符合合同要求并完成验收</w:t>
            </w:r>
          </w:p>
        </w:tc>
        <w:tc>
          <w:tcPr>
            <w:tcW w:w="720" w:type="dxa"/>
            <w:noWrap w:val="0"/>
            <w:vAlign w:val="center"/>
          </w:tcPr>
          <w:p w14:paraId="7AFB7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00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noWrap w:val="0"/>
            <w:vAlign w:val="center"/>
          </w:tcPr>
          <w:p w14:paraId="7D80D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00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720EC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E3E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1C1B8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CDFB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718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635" w:type="dxa"/>
            <w:noWrap w:val="0"/>
            <w:vAlign w:val="center"/>
          </w:tcPr>
          <w:p w14:paraId="0398D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</w:t>
            </w:r>
          </w:p>
        </w:tc>
        <w:tc>
          <w:tcPr>
            <w:tcW w:w="1350" w:type="dxa"/>
            <w:noWrap w:val="0"/>
            <w:vAlign w:val="center"/>
          </w:tcPr>
          <w:p w14:paraId="2EA4C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1290" w:type="dxa"/>
            <w:noWrap w:val="0"/>
            <w:vAlign w:val="center"/>
          </w:tcPr>
          <w:p w14:paraId="7B5B0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720" w:type="dxa"/>
            <w:noWrap w:val="0"/>
            <w:vAlign w:val="center"/>
          </w:tcPr>
          <w:p w14:paraId="76CC9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20" w:type="dxa"/>
            <w:noWrap w:val="0"/>
            <w:vAlign w:val="center"/>
          </w:tcPr>
          <w:p w14:paraId="26FBF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085" w:type="dxa"/>
            <w:noWrap w:val="0"/>
            <w:vAlign w:val="center"/>
          </w:tcPr>
          <w:p w14:paraId="6189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2EB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2B293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31DDB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restart"/>
            <w:noWrap w:val="0"/>
            <w:vAlign w:val="center"/>
          </w:tcPr>
          <w:p w14:paraId="18F74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635" w:type="dxa"/>
            <w:noWrap w:val="0"/>
            <w:vAlign w:val="center"/>
          </w:tcPr>
          <w:p w14:paraId="67F12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不超过年度预算</w:t>
            </w:r>
          </w:p>
        </w:tc>
        <w:tc>
          <w:tcPr>
            <w:tcW w:w="1350" w:type="dxa"/>
            <w:noWrap w:val="0"/>
            <w:vAlign w:val="center"/>
          </w:tcPr>
          <w:p w14:paraId="712C5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≤14056.21万元</w:t>
            </w:r>
          </w:p>
        </w:tc>
        <w:tc>
          <w:tcPr>
            <w:tcW w:w="1290" w:type="dxa"/>
            <w:noWrap w:val="0"/>
            <w:vAlign w:val="center"/>
          </w:tcPr>
          <w:p w14:paraId="14DE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13545.19万元</w:t>
            </w:r>
          </w:p>
        </w:tc>
        <w:tc>
          <w:tcPr>
            <w:tcW w:w="720" w:type="dxa"/>
            <w:noWrap w:val="0"/>
            <w:vAlign w:val="center"/>
          </w:tcPr>
          <w:p w14:paraId="09F13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720" w:type="dxa"/>
            <w:noWrap w:val="0"/>
            <w:vAlign w:val="center"/>
          </w:tcPr>
          <w:p w14:paraId="2708F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85" w:type="dxa"/>
            <w:noWrap w:val="0"/>
            <w:vAlign w:val="center"/>
          </w:tcPr>
          <w:p w14:paraId="6D7E1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7D1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C406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475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7FCDA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FB82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对社会发展可能造成的负面影响</w:t>
            </w:r>
          </w:p>
        </w:tc>
        <w:tc>
          <w:tcPr>
            <w:tcW w:w="1350" w:type="dxa"/>
            <w:noWrap w:val="0"/>
            <w:vAlign w:val="center"/>
          </w:tcPr>
          <w:p w14:paraId="5A208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90" w:type="dxa"/>
            <w:noWrap w:val="0"/>
            <w:vAlign w:val="center"/>
          </w:tcPr>
          <w:p w14:paraId="08D51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20" w:type="dxa"/>
            <w:noWrap w:val="0"/>
            <w:vAlign w:val="center"/>
          </w:tcPr>
          <w:p w14:paraId="32231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720" w:type="dxa"/>
            <w:noWrap w:val="0"/>
            <w:vAlign w:val="center"/>
          </w:tcPr>
          <w:p w14:paraId="456E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85" w:type="dxa"/>
            <w:noWrap w:val="0"/>
            <w:vAlign w:val="center"/>
          </w:tcPr>
          <w:p w14:paraId="30E33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142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41209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750E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61EE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79BD0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对生态环境可能造成的负面影响</w:t>
            </w:r>
          </w:p>
        </w:tc>
        <w:tc>
          <w:tcPr>
            <w:tcW w:w="1350" w:type="dxa"/>
            <w:noWrap w:val="0"/>
            <w:vAlign w:val="center"/>
          </w:tcPr>
          <w:p w14:paraId="22F74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90" w:type="dxa"/>
            <w:noWrap w:val="0"/>
            <w:vAlign w:val="center"/>
          </w:tcPr>
          <w:p w14:paraId="2805D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20" w:type="dxa"/>
            <w:noWrap w:val="0"/>
            <w:vAlign w:val="center"/>
          </w:tcPr>
          <w:p w14:paraId="2D46D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20" w:type="dxa"/>
            <w:noWrap w:val="0"/>
            <w:vAlign w:val="center"/>
          </w:tcPr>
          <w:p w14:paraId="60735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85" w:type="dxa"/>
            <w:noWrap w:val="0"/>
            <w:vAlign w:val="center"/>
          </w:tcPr>
          <w:p w14:paraId="37754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FB33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132F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noWrap w:val="0"/>
            <w:vAlign w:val="center"/>
          </w:tcPr>
          <w:p w14:paraId="6380C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55665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AA83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2FEEB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1ABF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526D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35" w:type="dxa"/>
            <w:noWrap w:val="0"/>
            <w:vAlign w:val="center"/>
          </w:tcPr>
          <w:p w14:paraId="3D42B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降本增效，降低运营成本</w:t>
            </w:r>
          </w:p>
        </w:tc>
        <w:tc>
          <w:tcPr>
            <w:tcW w:w="1350" w:type="dxa"/>
            <w:noWrap w:val="0"/>
            <w:vAlign w:val="center"/>
          </w:tcPr>
          <w:p w14:paraId="6CE5B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减少资源消耗和人力成本</w:t>
            </w:r>
          </w:p>
        </w:tc>
        <w:tc>
          <w:tcPr>
            <w:tcW w:w="1290" w:type="dxa"/>
            <w:noWrap w:val="0"/>
            <w:vAlign w:val="center"/>
          </w:tcPr>
          <w:p w14:paraId="760BA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减少资源消耗和人力成本</w:t>
            </w:r>
          </w:p>
        </w:tc>
        <w:tc>
          <w:tcPr>
            <w:tcW w:w="720" w:type="dxa"/>
            <w:noWrap w:val="0"/>
            <w:vAlign w:val="center"/>
          </w:tcPr>
          <w:p w14:paraId="33235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20" w:type="dxa"/>
            <w:noWrap w:val="0"/>
            <w:vAlign w:val="center"/>
          </w:tcPr>
          <w:p w14:paraId="5E43D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noWrap w:val="0"/>
            <w:vAlign w:val="center"/>
          </w:tcPr>
          <w:p w14:paraId="244AC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1A6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4484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7BE4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restart"/>
            <w:noWrap w:val="0"/>
            <w:vAlign w:val="center"/>
          </w:tcPr>
          <w:p w14:paraId="6E607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69BB0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35" w:type="dxa"/>
            <w:noWrap w:val="0"/>
            <w:vAlign w:val="center"/>
          </w:tcPr>
          <w:p w14:paraId="4D72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为旅发大会提供保障</w:t>
            </w:r>
          </w:p>
        </w:tc>
        <w:tc>
          <w:tcPr>
            <w:tcW w:w="1350" w:type="dxa"/>
            <w:noWrap w:val="0"/>
            <w:vAlign w:val="center"/>
          </w:tcPr>
          <w:p w14:paraId="2974A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1290" w:type="dxa"/>
            <w:noWrap w:val="0"/>
            <w:vAlign w:val="center"/>
          </w:tcPr>
          <w:p w14:paraId="59C4C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7CA7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3ABF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noWrap w:val="0"/>
            <w:vAlign w:val="center"/>
          </w:tcPr>
          <w:p w14:paraId="5784F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7FF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A2C6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34CA9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789A8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405FE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提升服务体验和城市形象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3C058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成为展示城市文明与治理水平的窗口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DE1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成为展示城市文明与治理水平的窗口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224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526D4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noWrap w:val="0"/>
            <w:vAlign w:val="center"/>
          </w:tcPr>
          <w:p w14:paraId="2B3A5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AABC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0A90C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73D35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restart"/>
            <w:noWrap w:val="0"/>
            <w:vAlign w:val="center"/>
          </w:tcPr>
          <w:p w14:paraId="721F2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2DB63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35" w:type="dxa"/>
            <w:noWrap w:val="0"/>
            <w:vAlign w:val="center"/>
          </w:tcPr>
          <w:p w14:paraId="7F4C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对生态环境的影响</w:t>
            </w:r>
          </w:p>
        </w:tc>
        <w:tc>
          <w:tcPr>
            <w:tcW w:w="1350" w:type="dxa"/>
            <w:noWrap w:val="0"/>
            <w:vAlign w:val="center"/>
          </w:tcPr>
          <w:p w14:paraId="7E200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1290" w:type="dxa"/>
            <w:noWrap w:val="0"/>
            <w:vAlign w:val="center"/>
          </w:tcPr>
          <w:p w14:paraId="3949D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有所改善</w:t>
            </w:r>
          </w:p>
        </w:tc>
        <w:tc>
          <w:tcPr>
            <w:tcW w:w="720" w:type="dxa"/>
            <w:noWrap w:val="0"/>
            <w:vAlign w:val="center"/>
          </w:tcPr>
          <w:p w14:paraId="3E66D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7CABA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85" w:type="dxa"/>
            <w:noWrap w:val="0"/>
            <w:vAlign w:val="center"/>
          </w:tcPr>
          <w:p w14:paraId="24D62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7DA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0B3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70646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2668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EE3D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绿色低碳和资源循环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109B0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节水节能，减少污染与排放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223B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节水节能，减少污染与排放</w:t>
            </w:r>
          </w:p>
        </w:tc>
        <w:tc>
          <w:tcPr>
            <w:tcW w:w="720" w:type="dxa"/>
            <w:noWrap w:val="0"/>
            <w:vAlign w:val="center"/>
          </w:tcPr>
          <w:p w14:paraId="210EE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7449A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85" w:type="dxa"/>
            <w:noWrap w:val="0"/>
            <w:vAlign w:val="center"/>
          </w:tcPr>
          <w:p w14:paraId="5F0CB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2DF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3615E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01D4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restart"/>
            <w:noWrap w:val="0"/>
            <w:vAlign w:val="center"/>
          </w:tcPr>
          <w:p w14:paraId="12E44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635" w:type="dxa"/>
            <w:noWrap w:val="0"/>
            <w:vAlign w:val="center"/>
          </w:tcPr>
          <w:p w14:paraId="16022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提升城市排水管理，保障人民生命财产安全</w:t>
            </w:r>
          </w:p>
        </w:tc>
        <w:tc>
          <w:tcPr>
            <w:tcW w:w="1350" w:type="dxa"/>
            <w:noWrap w:val="0"/>
            <w:vAlign w:val="center"/>
          </w:tcPr>
          <w:p w14:paraId="7B1A6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290" w:type="dxa"/>
            <w:noWrap w:val="0"/>
            <w:vAlign w:val="center"/>
          </w:tcPr>
          <w:p w14:paraId="4E344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720" w:type="dxa"/>
            <w:noWrap w:val="0"/>
            <w:vAlign w:val="center"/>
          </w:tcPr>
          <w:p w14:paraId="0C9E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A6D2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085" w:type="dxa"/>
            <w:noWrap w:val="0"/>
            <w:vAlign w:val="center"/>
          </w:tcPr>
          <w:p w14:paraId="0DF8E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1EC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7D8DC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3549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06DAD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26E2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城市运行安全水平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5B785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B850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720" w:type="dxa"/>
            <w:noWrap w:val="0"/>
            <w:vAlign w:val="center"/>
          </w:tcPr>
          <w:p w14:paraId="379D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2F71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53DDD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30D7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61BBC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A46B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6B452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69FE3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绿色低碳可持续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9E7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15A2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720" w:type="dxa"/>
            <w:noWrap w:val="0"/>
            <w:vAlign w:val="center"/>
          </w:tcPr>
          <w:p w14:paraId="34E59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DC81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46211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FD2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55948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F8B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2046C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5" w:type="dxa"/>
            <w:shd w:val="clear" w:color="auto" w:fill="auto"/>
            <w:noWrap w:val="0"/>
            <w:vAlign w:val="center"/>
          </w:tcPr>
          <w:p w14:paraId="2AFCB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  <w:lang w:val="en-US" w:eastAsia="zh-CN"/>
              </w:rPr>
              <w:t>提升城市整体形象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23216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17F1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720" w:type="dxa"/>
            <w:noWrap w:val="0"/>
            <w:vAlign w:val="center"/>
          </w:tcPr>
          <w:p w14:paraId="2E7D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BD59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2080C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A3F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noWrap w:val="0"/>
            <w:vAlign w:val="center"/>
          </w:tcPr>
          <w:p w14:paraId="71E95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66B6E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47D97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6FD46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929" w:type="dxa"/>
            <w:noWrap w:val="0"/>
            <w:vAlign w:val="center"/>
          </w:tcPr>
          <w:p w14:paraId="27EB4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635" w:type="dxa"/>
            <w:noWrap w:val="0"/>
            <w:vAlign w:val="center"/>
          </w:tcPr>
          <w:p w14:paraId="6CA68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  <w:lang w:val="en-US" w:eastAsia="zh-CN"/>
              </w:rPr>
              <w:t>人民群众满意度</w:t>
            </w:r>
          </w:p>
        </w:tc>
        <w:tc>
          <w:tcPr>
            <w:tcW w:w="1350" w:type="dxa"/>
            <w:noWrap w:val="0"/>
            <w:vAlign w:val="center"/>
          </w:tcPr>
          <w:p w14:paraId="64AB8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1290" w:type="dxa"/>
            <w:noWrap w:val="0"/>
            <w:vAlign w:val="center"/>
          </w:tcPr>
          <w:p w14:paraId="3A9C1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95%</w:t>
            </w:r>
          </w:p>
        </w:tc>
        <w:tc>
          <w:tcPr>
            <w:tcW w:w="720" w:type="dxa"/>
            <w:noWrap w:val="0"/>
            <w:vAlign w:val="center"/>
          </w:tcPr>
          <w:p w14:paraId="6E40C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20" w:type="dxa"/>
            <w:noWrap w:val="0"/>
            <w:vAlign w:val="center"/>
          </w:tcPr>
          <w:p w14:paraId="570CC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085" w:type="dxa"/>
            <w:noWrap w:val="0"/>
            <w:vAlign w:val="center"/>
          </w:tcPr>
          <w:p w14:paraId="6E51D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611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6" w:type="dxa"/>
            <w:gridSpan w:val="6"/>
            <w:noWrap w:val="0"/>
            <w:vAlign w:val="center"/>
          </w:tcPr>
          <w:p w14:paraId="71CB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20" w:type="dxa"/>
            <w:noWrap w:val="0"/>
            <w:vAlign w:val="center"/>
          </w:tcPr>
          <w:p w14:paraId="596D1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720" w:type="dxa"/>
            <w:noWrap w:val="0"/>
            <w:vAlign w:val="center"/>
          </w:tcPr>
          <w:p w14:paraId="5A3ED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99.64</w:t>
            </w:r>
          </w:p>
        </w:tc>
        <w:tc>
          <w:tcPr>
            <w:tcW w:w="1085" w:type="dxa"/>
            <w:noWrap w:val="0"/>
            <w:vAlign w:val="center"/>
          </w:tcPr>
          <w:p w14:paraId="6C907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AEFA03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331956F1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2C939405">
      <w:pP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br w:type="page"/>
      </w:r>
    </w:p>
    <w:p w14:paraId="2D8A2D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3-13</w:t>
      </w:r>
    </w:p>
    <w:p w14:paraId="3946B29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061"/>
        <w:gridCol w:w="1259"/>
        <w:gridCol w:w="1470"/>
        <w:gridCol w:w="1260"/>
        <w:gridCol w:w="1275"/>
        <w:gridCol w:w="630"/>
        <w:gridCol w:w="855"/>
        <w:gridCol w:w="980"/>
      </w:tblGrid>
      <w:tr w14:paraId="4CDAD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4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801D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D21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巴陵中路（琵琶王立交桥-德胜路）绿化海绵改造工程</w:t>
            </w:r>
          </w:p>
        </w:tc>
      </w:tr>
      <w:tr w14:paraId="3C652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45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4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D3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B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D1B2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73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E3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D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C0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6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D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1B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37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3C411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23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77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A8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49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8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5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4D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73.53%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B2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7.35</w:t>
            </w:r>
          </w:p>
        </w:tc>
      </w:tr>
      <w:tr w14:paraId="547CB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B2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F1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2C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F7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AD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59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E8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2D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7BCF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4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DA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B2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6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FA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4B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3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D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A36C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B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71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4C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D6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C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6E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0F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D5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9164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5B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C7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78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38374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68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9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系统化全面推进海绵城市建设理念得到全面系统落实，城市防洪防涝能力、地下空间利用水平显著升高，城市水环境、水安全、水资源明显改善，群众满意度明显提升。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3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B5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项目已完成98%，待竣工验收完成结算。</w:t>
            </w:r>
          </w:p>
        </w:tc>
      </w:tr>
      <w:tr w14:paraId="13B9A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24229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3F6B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225D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BC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9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07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98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32683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71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7A79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7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B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75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46C69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EB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97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3E758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5353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D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21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雨水控制率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BC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50%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E9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50%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F8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D9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8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3800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69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D2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30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61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雨水污染去除率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A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40%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62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40%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17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C8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13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771A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37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D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75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1E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可透水地面面积比例（城市建成区范围和可透水铺装的地面占建成区面积比例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EF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17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34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62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4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DA70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2D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A7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F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内涝防治标准（重现期年）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DD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30年一遇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5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30年一遇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56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E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C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9353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BB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08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2C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E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内涝防治标准（对应降雨量。Mm/24h)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F8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224.3mm/24h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FA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224.3mm/24h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C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A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48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24A0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7D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6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9A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F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三年内完成项目建设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B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7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3年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FF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36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1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9C9D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7A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4E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16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89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不超过全年预算数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2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≤300万元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8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64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39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38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9099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38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06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53FE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9554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37D6B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78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7EBB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7E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完成投资（万元）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73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220.6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F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01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D1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6821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17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0F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4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7B12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B7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海绵城市建设理念是否落实在规划建设管理全过程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7E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全面落实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4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全面落实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89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88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66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0845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09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4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77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CD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示范城市建设以来，新建项目全面落实建设理念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03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是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39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是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76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F0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C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67DA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A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86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D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B527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56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lang w:val="en-US" w:eastAsia="zh-CN"/>
              </w:rPr>
              <w:t>项目谋划与实施的系统性整体性（防涝与排渍水统筹、地上与地下统筹、排涝和治污统筹等）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EC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2D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强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D7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4E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19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D039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BF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8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A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05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提升城市排水管理，保障人民生命财产安全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5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AC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53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F1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AA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260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5C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51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7D81D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2F9D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76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9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人民群众满意度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AE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B8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71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8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63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096B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41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7A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9F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97.35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F6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603DC9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0C089D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6F9D284B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090CE9B4">
      <w:pP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br w:type="page"/>
      </w:r>
    </w:p>
    <w:p w14:paraId="0AF7B51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3-14</w:t>
      </w:r>
    </w:p>
    <w:p w14:paraId="0488A5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075"/>
        <w:gridCol w:w="1076"/>
        <w:gridCol w:w="1695"/>
        <w:gridCol w:w="1260"/>
        <w:gridCol w:w="1050"/>
        <w:gridCol w:w="660"/>
        <w:gridCol w:w="709"/>
        <w:gridCol w:w="1456"/>
      </w:tblGrid>
      <w:tr w14:paraId="4B396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C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3748F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98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3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花果畈垃圾处理场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封场项目</w:t>
            </w:r>
          </w:p>
        </w:tc>
      </w:tr>
      <w:tr w14:paraId="7F4B2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2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</w:t>
            </w:r>
          </w:p>
          <w:p w14:paraId="5EDE1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部门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C0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58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6B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岳阳市城市管理和综合执法局</w:t>
            </w:r>
          </w:p>
        </w:tc>
      </w:tr>
      <w:tr w14:paraId="27DE1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D3B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</w:t>
            </w:r>
          </w:p>
          <w:p w14:paraId="6F13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6E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D3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59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78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8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8D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0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9930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495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A6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95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618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2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618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E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71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47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63%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75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6.3</w:t>
            </w:r>
          </w:p>
        </w:tc>
      </w:tr>
      <w:tr w14:paraId="380B2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F7E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8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B0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390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E9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390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7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390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27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AB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3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94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BF16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570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6A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A6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36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F7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0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C0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84C8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C3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27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7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D8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B1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28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3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D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C595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9B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FCD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95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</w:t>
            </w:r>
          </w:p>
        </w:tc>
      </w:tr>
      <w:tr w14:paraId="10890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0AF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B6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采用“原位生态封场”治理工艺，就地采取工程措施隔绝污染，，最终达到消除污染、控制隐患及改善环境的目的。</w:t>
            </w:r>
          </w:p>
        </w:tc>
        <w:tc>
          <w:tcPr>
            <w:tcW w:w="38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4C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已完成封场</w:t>
            </w:r>
          </w:p>
        </w:tc>
      </w:tr>
      <w:tr w14:paraId="545F2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9E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B8DB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5C59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2717C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7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9E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44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5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0190C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3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77C69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33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3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31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0DBA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9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DF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30AEB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ADC5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92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A7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auto"/>
                <w:kern w:val="0"/>
                <w:sz w:val="20"/>
                <w:szCs w:val="20"/>
                <w:lang w:val="en-US" w:eastAsia="zh-CN"/>
              </w:rPr>
              <w:t>填埋场规范性封场和生态治理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BF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完成规范性封场和生态治理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D4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已完成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87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34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D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23AB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3D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9A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A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BA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工程质量符合标准率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DF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工程质量符合标准率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F4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符合标准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8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A3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03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CBBE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F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6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37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B2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按时限完成支付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94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年内支付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27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已完成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C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4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08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7FE7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F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B1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7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04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项目支出金额不超过预算金额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3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未超过预算金额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CC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未超过预算金额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9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51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B0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46BB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B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5B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9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4D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对社会造成负面影响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E2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8A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有积极影响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A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4D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40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33E2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BE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4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C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9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对生态环境造成负面影响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A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90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有积极影响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33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7B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83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3C4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13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5B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3505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AB6A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07D74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3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5E314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90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减污降碳、实现污染物达标排放，减少治理成本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40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各项污染物稳定达标排放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C2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各项污染物稳定达标排放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7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D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B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D7C8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7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88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5C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22AF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6D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美化城市环境、提升市民幸福指数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A4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从垃圾场变身生态绿地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76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从垃圾场变身生态绿地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89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6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BD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2CDA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D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7D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7F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690FE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96899">
            <w:pPr>
              <w:widowControl w:val="0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实现美化环境、生态修复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4F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生态修复良好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B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生态修复良好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E4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3E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8C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A8AF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C5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D8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20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6E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环境优化可持续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6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具有可持续影响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1D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具有可持续影响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85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89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2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80C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37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60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2C86E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64F54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B9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04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社会公众或服务对象满意度指标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6C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群众满意度高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D7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群众满意度高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F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A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2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306F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D8D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D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E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96.3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0F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2B047A1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14A3DD5C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7BB235D4">
      <w:pP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br w:type="page"/>
      </w:r>
    </w:p>
    <w:p w14:paraId="4883DFC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3-15</w:t>
      </w:r>
    </w:p>
    <w:p w14:paraId="3FE630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15D11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1D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7C56B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07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阳市城陵矶新港区城市基础设施生命线安全工程项目</w:t>
            </w:r>
          </w:p>
        </w:tc>
      </w:tr>
      <w:tr w14:paraId="412AC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EF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A1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岳阳市城市管理和综合执法局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5E2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CC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岳阳市智慧城管指挥中心</w:t>
            </w:r>
          </w:p>
        </w:tc>
      </w:tr>
      <w:tr w14:paraId="23162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0D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A4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2D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7583C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BD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39579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C1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46D2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6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5A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DB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605F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F49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3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A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4C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425.2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5D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30.242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67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7.11%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D0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0.71</w:t>
            </w:r>
          </w:p>
        </w:tc>
      </w:tr>
      <w:tr w14:paraId="36B61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6EB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6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0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B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425.2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1A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30.242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8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03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89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C326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3F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C7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F3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3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CD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C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D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09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31F0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5FE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0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8F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4F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6A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C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0C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0E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0B15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4EA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7B9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61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2F796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B28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F438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阳市城陵矶新港区城市基础设施生命线安全工程项目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包括：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风险评估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、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城市生命线监测感知终端系统、应用系统（包含预警联动处置应用系统、综合安全驾驶舱、燃气安全运行监测系统、排水安全运行监测系统、供水安全运行监测系统）、数据体系建设、接口与基础环境建设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02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通过风险评估精确发现风险区域，采购并安装相应的物联感知设备，搭建供排燃管网监测感知网，建设生命线安全监测平台应用系统，对接物联感知设备实现风险实时报警，及时派单处置，构建生命线各行业行业基础数据体系，开发物联网通用接口，为后续新增设备预留对接空间。</w:t>
            </w:r>
          </w:p>
        </w:tc>
      </w:tr>
      <w:tr w14:paraId="33763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4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486B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67C88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4E48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F0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F1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54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B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4D325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31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6E91B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B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80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823A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68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0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24FE2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18D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6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4C5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可燃气体智能监测设备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66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186套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D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186套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4C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65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8E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BD6F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7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8E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8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0C5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排水监测设备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9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88套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88套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AF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70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5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0564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0A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C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7E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E2F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供水监测设备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2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32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3E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8C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供水四套设备安装涉及挖管停水且存在相同类型设备，采取对接形式获取数据。</w:t>
            </w:r>
          </w:p>
        </w:tc>
      </w:tr>
      <w:tr w14:paraId="0FDC8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6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10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9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D3C2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物联感知平台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F7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50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47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90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E7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4198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7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15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7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5D9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预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警联动处置应用系统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A3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1AE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95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91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23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7957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CB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E9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79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939A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综合安全驾驶舱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53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8个专题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F6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8个专题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29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DF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7B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0B2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D5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FC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62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A2AA4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燃气安全运行监测系统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1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0DB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28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3E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5E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BACD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D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D6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07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5F5C0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供水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安全运行监测系统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FB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135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1F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8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57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BC3F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68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06D1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F9B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B097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排水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安全运行监测系统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4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8D6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65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75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8D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30C2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A6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582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63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CD8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数据体系建设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6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996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FA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FB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B5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9703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C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68FB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D077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01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保障通信正常率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23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3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96.85%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F9BDE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36CBD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E2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CF01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3A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E53D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F0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D6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派单流程正常运行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26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55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6104E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8A076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2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9C0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1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EFC3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53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35D807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项目完成时间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24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年1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日前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1C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2026年1月31日前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6FBF0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AADF">
            <w:pPr>
              <w:widowControl/>
              <w:spacing w:line="32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1F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A310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3A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61D9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6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22D3BC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网络正常运行，故障解决及时。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05AF5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要求时间内完成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6180A0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均在要求时间内完成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AD113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D988A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3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F61A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6B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20B4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64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6E545B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项目实施成本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5A5EE">
            <w:pPr>
              <w:widowControl/>
              <w:spacing w:line="28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  <w:t>不超过预算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FB5F1F">
            <w:pPr>
              <w:widowControl/>
              <w:spacing w:line="28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  <w:t>未超过预算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9A2EC">
            <w:pPr>
              <w:widowControl/>
              <w:spacing w:line="280" w:lineRule="exact"/>
              <w:ind w:firstLine="200" w:firstLineChars="10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4581B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03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3906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FE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7CC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A0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A6DAED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对自然生态环境造成的负面影响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F5CDE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49F27E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95296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C7067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58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52C8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2B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C6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5C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589F6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对社会发展可能造成的负面影响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94CE1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036FF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5828C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4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DDF3C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A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1ED1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2D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04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2D7BC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708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3AC7A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CA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40D45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EBFB33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降低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管理成本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65E1F2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降低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管理成本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199526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降低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管理成本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47F64A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3AC8F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E03B4C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13A11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83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DA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64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1DC04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D2ACEE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打造精细化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生命线安全监测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E6E783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打造精细化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生命线安全监测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19A56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打造精细化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生命线安全监测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DADF8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DACC4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BAB46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A048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E2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96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78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DAA5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91A98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美化城市形象、改善辖区居住环境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4D35F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改善城区居住环境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A3449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辖区居民舒适感有所改善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E34B1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CCD3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EE2E7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4AA1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86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65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1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122C8">
            <w:pPr>
              <w:widowControl/>
              <w:spacing w:line="28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助力提升城市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生命线安全发展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D66FD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助力提升城市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生命线安全发展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72B7">
            <w:pPr>
              <w:widowControl/>
              <w:spacing w:line="28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管理水平不断提高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26DD5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67E8E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A7362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33A16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CB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F4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E0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F6D40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对城市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安全管理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是否产生可持续影响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3C6F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推进信息化管理，提高城市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管理工作效率。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F8BDE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城市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安全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管理工作效率不断提升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996AB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0B8C5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6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12A1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33D13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62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E2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0FAB3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58EB6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B4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FF395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群众满意度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4C0C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98%以上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C1D8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6F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E2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E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27E2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6B1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FB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E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90.71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8D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1B202DB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782C5B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1AB88F6A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497DF689">
      <w:pPr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</w:p>
    <w:p w14:paraId="5349CF2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3-16</w:t>
      </w:r>
    </w:p>
    <w:p w14:paraId="3806A3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061"/>
        <w:gridCol w:w="1053"/>
        <w:gridCol w:w="1316"/>
        <w:gridCol w:w="1101"/>
        <w:gridCol w:w="1206"/>
        <w:gridCol w:w="815"/>
        <w:gridCol w:w="862"/>
        <w:gridCol w:w="1376"/>
      </w:tblGrid>
      <w:tr w14:paraId="2325F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64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50403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31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双拥示范街区建设项目</w:t>
            </w:r>
          </w:p>
        </w:tc>
      </w:tr>
      <w:tr w14:paraId="1B0C6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7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56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3C0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0A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</w:p>
        </w:tc>
      </w:tr>
      <w:tr w14:paraId="6E1D2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6F7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29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B0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4E1B6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94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2C7E5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3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5E4A6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08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1F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34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D237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25C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47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0A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AC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71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CB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5A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2B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2CD76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A4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B7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D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BE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2C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36.26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8B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56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C8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5AE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A2C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B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56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0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F2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02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4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12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9357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4E6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C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C2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0B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C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76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8B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F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63DC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5A4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840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31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06320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D42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129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建设双拥示范街区，在8个点位制作双拥标识牌、彩绘、宣传广告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7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在8个点位制作五处双拥标识牌、2处墙体彩绘、一处公交站台宣传广告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C75E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B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0E66D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38212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A2C6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C3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85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6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6362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47B89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49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1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F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4C788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0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4834A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3385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33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2D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1，五处标识标牌；2.两处墙体彩绘；3，一处公交站广告。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D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8处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1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8处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81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11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E1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CE7E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A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F8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2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3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工程竣工验收合同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B5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E7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合格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B9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65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3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31B0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E9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2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3C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67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发生安全生产事故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7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6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A1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50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8A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1A03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93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EC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F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1A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D4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5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0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BD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3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9180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C1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10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FD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1E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不超过年度预算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3F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0A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10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3B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50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FE4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54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01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5D0F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E318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6B8C1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C5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5019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A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94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8B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B4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B6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3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3815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7C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06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C5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5E4D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C9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街区居民及军人对双拥工作知晓率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48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63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有效提高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70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2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8D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B8DC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98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02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89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41C6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81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街区环境整洁美化提升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A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有所提升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82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有所提升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78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6D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4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D64C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CE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70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3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3B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街区居民及军人对双拥工作认知度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44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0C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持续提升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0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C8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87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577D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EC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BE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241BC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4B94D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B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2C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军人及街区商户满意度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3C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47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≥95%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8B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7E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55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7E91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B71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64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12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ED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6C0669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130EBC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03041032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4FEC9B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3-17</w:t>
      </w:r>
    </w:p>
    <w:p w14:paraId="344816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061"/>
        <w:gridCol w:w="1053"/>
        <w:gridCol w:w="1391"/>
        <w:gridCol w:w="1026"/>
        <w:gridCol w:w="1206"/>
        <w:gridCol w:w="815"/>
        <w:gridCol w:w="862"/>
        <w:gridCol w:w="1376"/>
      </w:tblGrid>
      <w:tr w14:paraId="745D2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6F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2A3E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27D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市城区桥梁检测服务（9座）</w:t>
            </w:r>
          </w:p>
        </w:tc>
      </w:tr>
      <w:tr w14:paraId="0177D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E1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76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096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6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城市管理和综合执法局</w:t>
            </w:r>
          </w:p>
        </w:tc>
      </w:tr>
      <w:tr w14:paraId="2C835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BA4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19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B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1A423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5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05915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3A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6257F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D9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65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E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29CF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914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7C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4F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BF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E8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9D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C5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12A26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483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C4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DC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3E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DD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22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C7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4F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396B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3C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1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A9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E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EF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6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C1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A2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B376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51D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F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58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0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C9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F9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9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DE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D117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473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77D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F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24EA6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468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4AF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根据2024年市本级政府投资计划安排，对市城区9座桥梁进行检测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CE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已按投资计划要求完成9座桥梁的检测，并出具桥梁检测报告</w:t>
            </w:r>
          </w:p>
        </w:tc>
      </w:tr>
      <w:tr w14:paraId="7C876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09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305E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2CE10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5681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BB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C1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C6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4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7832D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B4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1B502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2D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F0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39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540E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02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FE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60186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65F9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BB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6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常规定期检测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D2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2F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A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82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7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7578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B0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80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F2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AB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混凝土强度、碳化，钢筋锈蚀及保护层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0C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0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F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9E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65FA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EC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E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79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6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动静载检测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7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51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9座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7F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3D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40A9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5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4B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E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1F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E5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2年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BF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2年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3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C0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F2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6482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F4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9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6A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B4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不超过年度预算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C6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≤134.68万元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57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134.68万元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FE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05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2B68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AE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BA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50AD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AE0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57C90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AD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1B731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6C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8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66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7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CD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8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F812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FF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14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B4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056FC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0B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对社会造成负面影响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60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DD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52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3C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A4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052B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CD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CB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2A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7B1D5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3A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对生态环境造成负面影响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21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42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A5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6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D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F854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54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42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D1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D6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提升城市排水管理，保障人民生命财产安全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03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82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可持续影响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B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70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95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BF92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F2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8D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39FD2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64290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FA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ED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人民群众满意度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CF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≥95%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90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17"/>
                <w:lang w:val="en-US" w:eastAsia="zh-CN"/>
              </w:rPr>
              <w:t>95%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3D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A1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904F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F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C2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26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10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22C868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12A4914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45816856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10EA18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</w:p>
    <w:p w14:paraId="64B8709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3-18</w:t>
      </w:r>
    </w:p>
    <w:p w14:paraId="6AE9359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253"/>
        <w:gridCol w:w="1027"/>
        <w:gridCol w:w="1423"/>
        <w:gridCol w:w="1380"/>
        <w:gridCol w:w="1260"/>
        <w:gridCol w:w="765"/>
        <w:gridCol w:w="825"/>
        <w:gridCol w:w="1085"/>
      </w:tblGrid>
      <w:tr w14:paraId="51B43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E7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1324D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90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CB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2025年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船舶垃圾收集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</w:tr>
      <w:tr w14:paraId="35E2B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2A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</w:t>
            </w:r>
          </w:p>
          <w:p w14:paraId="78B13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部门</w:t>
            </w:r>
          </w:p>
        </w:tc>
        <w:tc>
          <w:tcPr>
            <w:tcW w:w="50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D3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52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98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城市管理和综合执法局</w:t>
            </w:r>
          </w:p>
        </w:tc>
      </w:tr>
      <w:tr w14:paraId="7EF72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4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</w:t>
            </w:r>
          </w:p>
          <w:p w14:paraId="4B86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E7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F9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AF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3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6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8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3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ABFB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0E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D1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D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133.71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133.71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E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7D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4A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76%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87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7.6</w:t>
            </w:r>
          </w:p>
        </w:tc>
      </w:tr>
      <w:tr w14:paraId="5480B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FD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3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9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133.71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83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133.71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F6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E1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A4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62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430F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7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30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AB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57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75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5E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D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EC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7A33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56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B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3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04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3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7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D2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D985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8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0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2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9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7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</w:t>
            </w:r>
          </w:p>
        </w:tc>
      </w:tr>
      <w:tr w14:paraId="4A311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4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0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D9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完成一座洞庭湖环卫趸船码头建设和两个中转站建设</w:t>
            </w:r>
          </w:p>
        </w:tc>
        <w:tc>
          <w:tcPr>
            <w:tcW w:w="39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7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已经竣工，验收合格，并交付使用</w:t>
            </w:r>
          </w:p>
        </w:tc>
      </w:tr>
      <w:tr w14:paraId="6A4DB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CF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404B0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41D73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E1F7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A4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2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1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0B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8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E4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26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DF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1557D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DE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6A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0BDB4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BB7C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D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3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趸船码头建设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1个趸船码头建设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7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完成1个趸船码头建设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F0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20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F5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45AF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68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8B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6B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中转站建设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7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2个中转站建设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0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完成2个中转站建设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50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AD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53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0B12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2A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1F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98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C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符合建筑行业要求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7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符合建筑行业要求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7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符合建筑行业要求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76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9F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5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C1A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19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04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A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符合工程设计要求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符合工程设计要求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4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符合工程设计要求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37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67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34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49CD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0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0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9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按合同约定交付使用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按合同约定交付使用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按合同约定交付使用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79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E4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F9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6578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1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4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2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按计划实施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9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按计划实施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3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按计划完成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22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9C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4F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C10C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AE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95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ED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A7C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项目支出金额不超过预算金额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798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不超过预算</w:t>
            </w:r>
          </w:p>
          <w:p w14:paraId="46D4A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金额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41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未超过预算</w:t>
            </w:r>
          </w:p>
          <w:p w14:paraId="30942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金额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479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480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5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F0FE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34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4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B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93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对社会造成负面影响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832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738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A10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836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6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D660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47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5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4B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对生态环境造成负面影响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1F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AD8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91E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BF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96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A328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0E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6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5656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334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68EAC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E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3E62E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2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减少水体环境治理费用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4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减少水体环境治理费用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9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减少水体环境治理费用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3F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01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49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9FAA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06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F9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3A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3F66F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8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垃圾资源化利用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8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垃圾资源化利用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7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有效利用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EFC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A6A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AB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5C5D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45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5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4F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F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改善洞庭湖域居民环境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改善洞庭湖域居民环境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有所改善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82C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F8B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2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ADC6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2B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3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9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081A4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改善洞庭湖水环境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6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改善洞庭湖水环境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4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有所改善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6E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C6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A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33B8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AD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39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C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提升居民幸福指数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C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具有可持续影响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具有可持续影响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E0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7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A7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C1A0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20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1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35C14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5AB9F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01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3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4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97%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F2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5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A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FEE7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75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93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76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97.6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0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041728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7097EEC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69517EB3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7756F43E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br w:type="page"/>
      </w:r>
    </w:p>
    <w:p w14:paraId="772ADA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3-19</w:t>
      </w:r>
    </w:p>
    <w:p w14:paraId="49E0B9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125"/>
        <w:gridCol w:w="1080"/>
        <w:gridCol w:w="1440"/>
        <w:gridCol w:w="1425"/>
        <w:gridCol w:w="1110"/>
        <w:gridCol w:w="690"/>
        <w:gridCol w:w="780"/>
        <w:gridCol w:w="1125"/>
      </w:tblGrid>
      <w:tr w14:paraId="5FC54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60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项目支出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名称</w:t>
            </w:r>
          </w:p>
        </w:tc>
        <w:tc>
          <w:tcPr>
            <w:tcW w:w="877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A6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青年堤等</w:t>
            </w:r>
            <w:bookmarkStart w:id="3" w:name="OLE_LINK1"/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排水主涵清淤</w:t>
            </w:r>
            <w:bookmarkEnd w:id="3"/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工程</w:t>
            </w:r>
          </w:p>
        </w:tc>
      </w:tr>
      <w:tr w14:paraId="6F4B2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E4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0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6B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岳阳市城市管理和综合执法局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0FB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5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FF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岳阳市市政维护管理中心</w:t>
            </w:r>
          </w:p>
        </w:tc>
      </w:tr>
      <w:tr w14:paraId="65EEA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9D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项目资金（万元）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E5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4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EE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B9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A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9D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F9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</w:tr>
      <w:tr w14:paraId="37A6A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47F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FC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97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97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A6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A0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A4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A9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5B6E1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6AA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5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E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AB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7D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12.59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0A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C1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E0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EAD8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3D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00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BB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0D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86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78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E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42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749A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4B1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7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9F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A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A6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94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8A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27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0401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403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0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D5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7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4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</w:t>
            </w:r>
          </w:p>
        </w:tc>
      </w:tr>
      <w:tr w14:paraId="2F1FB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73A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0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EA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金东门、青年堤、市十中、下王组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排水主涵清淤整治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完成机器人清淤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6212m³；淤泥固化处理5901m³；余方弃置、垃圾处理3835m³；箱涵顶板恢复11.34m³，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保障排水管网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正常运行。</w:t>
            </w:r>
          </w:p>
        </w:tc>
        <w:tc>
          <w:tcPr>
            <w:tcW w:w="37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8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排水管网得到及时清理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保证了城市排水通畅，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中心城区市政设施完好率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不断提升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。</w:t>
            </w:r>
          </w:p>
        </w:tc>
      </w:tr>
      <w:tr w14:paraId="3314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99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绩效指标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1F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4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6F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5F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81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8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3C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38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4C576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9F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62244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产出指标(50分)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A7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B3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机器人清淤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77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6212m³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92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6212m³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5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C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13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C787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6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908B0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8E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E0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淤泥固化处理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A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5901m³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D5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5901m³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54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2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4A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0FEB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DB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CBCB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D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ADD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符合《城市给水排水技规范GB50788-2012》标准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77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D6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1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D4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FAB8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D4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233F5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28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AA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按项目实施进度及时完成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C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2024年11月13日前完成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B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如期完成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5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4F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C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4FD1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B2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61FBD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80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控制在财评审定预算金额内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48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不超预算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A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未超预算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DA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81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6196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70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C1D95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A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5D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施工期间影响市民出行安全情况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1B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施工期间影响市民出行安全全年≤1起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B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影响市民出行安全事项0起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6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5D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9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5C19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CE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D1B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40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7D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施工作业噪音白天＜80分贝、晚上＜65分贝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3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不超过预定值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A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未超过预定值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55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55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EE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7820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7B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20744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效益指标（30分）</w:t>
            </w:r>
          </w:p>
          <w:p w14:paraId="26A3A2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A2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5A57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6B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本项目为公益项目，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无直接经济收益。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6B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及时养护，减少次生维护成本。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6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维护成本得到有效管控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C2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43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9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F91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B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7800D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37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38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是否有益于岳阳经济的发展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A9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助力岳阳经济发展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3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" w:eastAsia="zh-CN"/>
              </w:rPr>
              <w:t>有效助力岳阳经济发展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E6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A5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24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1C3F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0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05A29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47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5DED4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61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确保城市雨污水及时排放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8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改善市民居住环境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C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有效改善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F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7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13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C95F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17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FB62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62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BF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改变城市面貌和提升城市形象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FD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提升城市形象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2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城市形象得到不断提升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F7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C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84EB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67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2563A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B9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53BEB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3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改善城市景观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1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城市景观有所改善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4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得到有效改善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AF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AE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5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02AB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B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1001E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B9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BA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及时维护市政排水管网，保证排水通畅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3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保证城市排水管道通畅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有效保证城市排水通畅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46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8C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AF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BCE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4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3ABA2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9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E9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保障市政设施处于良好的使用状态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A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及时有效维护市政设施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0F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延长了市政设施使用寿命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C1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D8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3B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4FA8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21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90834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D8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3D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改善城市居住环境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1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有效改善城市居住环境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4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增加了市民的幸福感、获得感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E3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16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86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91F9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7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4CE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3C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60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提升城市整体形象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5D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改善城市环境，提升城市形象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3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城市整体形象得到不断提升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BE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5D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90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D755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5F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A1CAB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满意度指标（10分）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F0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29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市民满意度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FB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满意率达95%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以上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00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98%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A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21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A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9E96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64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A6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3A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4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77B54BE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34C36F9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1F88BD54"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6060203E"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br w:type="page"/>
      </w:r>
    </w:p>
    <w:p w14:paraId="2F2DD07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3-20</w:t>
      </w:r>
    </w:p>
    <w:p w14:paraId="2E357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0DFE4E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3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645"/>
        <w:gridCol w:w="870"/>
        <w:gridCol w:w="1620"/>
        <w:gridCol w:w="1605"/>
        <w:gridCol w:w="1125"/>
        <w:gridCol w:w="795"/>
        <w:gridCol w:w="870"/>
        <w:gridCol w:w="825"/>
      </w:tblGrid>
      <w:tr w14:paraId="3A5A8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33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项目支出名称</w:t>
            </w:r>
          </w:p>
        </w:tc>
        <w:tc>
          <w:tcPr>
            <w:tcW w:w="83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EB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巴陵石化公司（原洞氮）权属泵站维修改造工程</w:t>
            </w:r>
          </w:p>
        </w:tc>
      </w:tr>
      <w:tr w14:paraId="51F9D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C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3E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岳阳市城市管理和综合执法局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D48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4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21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岳阳市市政维护管理中心</w:t>
            </w:r>
          </w:p>
        </w:tc>
      </w:tr>
      <w:tr w14:paraId="3B57F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C1B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E2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40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D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D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39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71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行率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3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</w:tr>
      <w:tr w14:paraId="3ACA1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AC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1B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3E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D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6B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17.41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55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54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99.9%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BA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70A94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2C2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D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D0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AB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CF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17.41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60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2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41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83FB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0C5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3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C2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1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E1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22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C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D0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4BAE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8F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A5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7D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8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F3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2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BE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B9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B289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4B1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15F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DE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</w:t>
            </w:r>
          </w:p>
        </w:tc>
      </w:tr>
      <w:tr w14:paraId="7D6A1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7A1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79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对吉家湖泵站和延寿村泵站的设备、附属道路、围墙、绿化进行改造，并新建双回路高压电力线路，解决七里山片区和延寿片区排涝排污民生问题。</w:t>
            </w:r>
          </w:p>
        </w:tc>
        <w:tc>
          <w:tcPr>
            <w:tcW w:w="3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D0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吉家湖泵站和延寿村泵站已正常运行，解决了七里山片区和延寿片区生活污水收集处理和泄洪排涝问题。</w:t>
            </w:r>
          </w:p>
        </w:tc>
      </w:tr>
      <w:tr w14:paraId="4CBA7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AA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8FA4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ACE9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3C0E0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D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D4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BD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7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1D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48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32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A9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75B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36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5B01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产出指标(50分)</w:t>
            </w: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3E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25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吉家湖雨水泵站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维修改造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38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保证泵站正常运转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EA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泵站正常运转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B4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23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86C4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B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D7AD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7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B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延寿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泵站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维修改造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A1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保证泵站正常运转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E3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泵站正常运转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A5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8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C3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FF5F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35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71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FE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649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符合《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水利泵站施工及验收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规范GB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/T51033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》标准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9E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76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50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A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A4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31887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A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72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09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C39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符合《城市给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水排水技规范GB50788-2012》标准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7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67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标准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78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8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DD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AA16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25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585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06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88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按项目实施进度及时完成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50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2024年11月30日前完成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9F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如期完成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CA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0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76B2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C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D9C1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6B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B6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控制在财评审定预算金额内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98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不超预算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3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未超预算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4D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36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50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D3C9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EF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FD4A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43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D3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施工期间影响市民出行安全情况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8B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全年不超过1起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5A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影响市民出行安全事项0起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9A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B1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0653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91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A9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1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8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施工作业噪音白天＜80分贝、晚上＜65分贝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E9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不超预定值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19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未超过预定值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F8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55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AC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CA70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4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6726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664F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787AD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7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经济效益指标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75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本项目为公益项目，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无直接经济收益。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B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及时养护，减少次生维护成本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65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维护成本得到有效管控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5B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D7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2A46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BA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C86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89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D0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是否有益于岳阳经济的发展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4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助力岳阳经济发展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18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" w:eastAsia="zh-CN"/>
              </w:rPr>
              <w:t>有效助力岳阳经济发展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F8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9B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71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269D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86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A734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5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社会效益指标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FD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确保城市低洼地带雨水及时排放，污水及时输送至污水处理厂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0C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改善市民居住环境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8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有效改善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0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94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6E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2118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1B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3959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A7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8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改变城市面貌和提升城市形象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02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提升城市形象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B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城市形象得到不断提升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5B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FC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32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EF43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4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946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CA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生态效益指标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5A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改善城市景观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41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城市景观有所改善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B1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得到有效改善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EC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11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DD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7AE3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E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FEFB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A1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3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及时排放城市雨水，污水及时输送到污水处理厂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D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污水得到有效处理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47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污水得到有效处理，保护水源清洁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0E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78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ED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A08F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45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9E5B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0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7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保障市政设施处于良好的使用状态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42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及时有效维护市政设施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B9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市政设施的及时维护，延长了使用寿命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92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3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B8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E1BD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AF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C498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E0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EA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改善城市居住环境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C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有效改善城市居住环境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3A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增加了市民的幸福感、获得感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93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D4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E4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B152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D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01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A2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D2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提升城市整体形象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1F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改善城市环境，提升城市形象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2C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城市整体形象得到不断提升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F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A4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61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BD97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E3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991C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满意度指标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51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B5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市民满意度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5F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满意率达95%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以上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BE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97%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5F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6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36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1B9A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7E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9D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F1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EC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6078DD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129D46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5687F9B7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p w14:paraId="18078974">
      <w:r>
        <w:br w:type="page"/>
      </w:r>
    </w:p>
    <w:p w14:paraId="433FE65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3-21</w:t>
      </w:r>
    </w:p>
    <w:p w14:paraId="3020E2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9"/>
        <w:tblW w:w="98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26"/>
        <w:gridCol w:w="1545"/>
        <w:gridCol w:w="1365"/>
        <w:gridCol w:w="1245"/>
        <w:gridCol w:w="705"/>
        <w:gridCol w:w="870"/>
        <w:gridCol w:w="935"/>
      </w:tblGrid>
      <w:tr w14:paraId="0FD58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C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2B460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C8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巴陵大桥西蘑菇亭公共绿地综合改造项目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54D9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8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F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岳阳市城市管理和综合执法局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D47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5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7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岳阳市绿茵园林有限公司</w:t>
            </w:r>
          </w:p>
        </w:tc>
      </w:tr>
      <w:tr w14:paraId="33853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2A3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1D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28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36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E9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42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C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0E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3D3E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34F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3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21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314.46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314.46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59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33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E0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bookmarkStart w:id="4" w:name="_GoBack"/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34.98</w:t>
            </w:r>
            <w:bookmarkEnd w:id="4"/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2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3.5</w:t>
            </w:r>
          </w:p>
        </w:tc>
      </w:tr>
      <w:tr w14:paraId="28A2B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09A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58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38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60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A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E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A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5B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88A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D91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D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D3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314.46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70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314.46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1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08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85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A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CCE5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332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CC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7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23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2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F7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AE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EE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964B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C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BB6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13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EF9C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DE8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53F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北侧游园入口改造、中心水池改造、新建北侧挡土墙、东侧一、二、三平台台阶铺砌、人行道透水混凝土铺装、南游园健身器材更换、园内新植乔灌木和地被调整、南湖大道分车带绿化栏杆等。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99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严格按行业规范施工，优质完成了全部施工任务，现场景观效果符合设计要求；工程质量达到《建筑工程施工质量验收统一标准》（CB50300-2013）《园林绿化施工及验收规范》（CJJ82-2012）要求。</w:t>
            </w:r>
          </w:p>
        </w:tc>
      </w:tr>
      <w:tr w14:paraId="1FE6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D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78B94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D705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696A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C4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F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50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F4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1CE62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79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7ED65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BE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6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E4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162B6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3A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93C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1E42C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0FE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2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EC64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3F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北侧游园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79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5210平方米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3D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5210平方米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04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4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D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0738E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F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01E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58B6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02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南侧游园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C3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2330平方米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E7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2330平方米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6D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4A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47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313B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33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3C2C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C3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9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现场公共绿地综合改造区域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3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符合相关要求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2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符合相关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要求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96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E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B3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09C3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62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D03A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C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C9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在规定的时间节点完成项目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A6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2020年4月开工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08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2020年8月全部完工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C8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CF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CA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6B93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5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4EC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D1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A1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支出不超过预算金额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5E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支出不超过预算金额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2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110万元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F0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08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E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F9E3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E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28F2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2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34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对社会发展可能造成的负面影响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85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C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5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54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9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0453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76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18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6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8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对自然生态环境造成负面影响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45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B1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无负面影响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47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D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3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4E0F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40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47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3B8CF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4BCC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446EA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7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3B890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AE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无直接经济效益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8B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3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68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A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54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0569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20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EB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E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30915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C73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无直接社会效益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67B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ED4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不适用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D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74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9C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6FA1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4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5B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B8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5E544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63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美化城市居民生活环境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24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提升城市居民生活环境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0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有效提升城市居民生活环境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1D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9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95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7A3D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EA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65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5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4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具有可持续影响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72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具有可持续影响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73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具有可持续影响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DD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F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0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72E2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6B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7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16DF6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2BBD6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E1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8D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受益对象满意度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B8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95%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0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96%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0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78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6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3764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B27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F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93.5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57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057FA167"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</w:p>
    <w:sectPr>
      <w:footerReference r:id="rId3" w:type="default"/>
      <w:footerReference r:id="rId4" w:type="even"/>
      <w:pgSz w:w="11906" w:h="16838"/>
      <w:pgMar w:top="1587" w:right="1588" w:bottom="1587" w:left="1588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092E0">
    <w:pPr>
      <w:pStyle w:val="7"/>
      <w:framePr w:wrap="around" w:vAnchor="text" w:hAnchor="margin" w:xAlign="outside" w:y="1"/>
      <w:rPr>
        <w:rStyle w:val="11"/>
        <w:sz w:val="24"/>
        <w:szCs w:val="24"/>
      </w:rPr>
    </w:pPr>
    <w:r>
      <w:rPr>
        <w:rStyle w:val="11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11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11"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rStyle w:val="11"/>
        <w:rFonts w:hint="eastAsia"/>
        <w:sz w:val="24"/>
        <w:szCs w:val="24"/>
      </w:rPr>
      <w:t xml:space="preserve"> —</w:t>
    </w:r>
  </w:p>
  <w:p w14:paraId="536C05A2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173A5">
    <w:pPr>
      <w:pStyle w:val="7"/>
      <w:framePr w:wrap="around" w:vAnchor="text" w:hAnchor="margin" w:xAlign="outside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5DFB5C73">
    <w:pPr>
      <w:pStyle w:val="7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C3E4C1"/>
    <w:multiLevelType w:val="singleLevel"/>
    <w:tmpl w:val="90C3E4C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7E8950E"/>
    <w:multiLevelType w:val="singleLevel"/>
    <w:tmpl w:val="A7E8950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EFF2178"/>
    <w:multiLevelType w:val="singleLevel"/>
    <w:tmpl w:val="BEFF2178"/>
    <w:lvl w:ilvl="0" w:tentative="0">
      <w:start w:val="2"/>
      <w:numFmt w:val="chineseCounting"/>
      <w:suff w:val="nothing"/>
      <w:lvlText w:val="(%1）"/>
      <w:lvlJc w:val="left"/>
      <w:rPr>
        <w:rFonts w:hint="eastAsia"/>
      </w:rPr>
    </w:lvl>
  </w:abstractNum>
  <w:abstractNum w:abstractNumId="3">
    <w:nsid w:val="CD461859"/>
    <w:multiLevelType w:val="singleLevel"/>
    <w:tmpl w:val="CD4618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D9494BC8"/>
    <w:multiLevelType w:val="singleLevel"/>
    <w:tmpl w:val="D9494BC8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842CBD3"/>
    <w:multiLevelType w:val="singleLevel"/>
    <w:tmpl w:val="7842CBD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53116"/>
    <w:rsid w:val="006E05BE"/>
    <w:rsid w:val="01FA65AD"/>
    <w:rsid w:val="0273010D"/>
    <w:rsid w:val="0350044F"/>
    <w:rsid w:val="035B19F4"/>
    <w:rsid w:val="03C960D7"/>
    <w:rsid w:val="03FF60FC"/>
    <w:rsid w:val="04B5126F"/>
    <w:rsid w:val="05AB5E10"/>
    <w:rsid w:val="05B2719F"/>
    <w:rsid w:val="066163F9"/>
    <w:rsid w:val="07971D2A"/>
    <w:rsid w:val="08991AD4"/>
    <w:rsid w:val="0AEA4BAD"/>
    <w:rsid w:val="0B4F695F"/>
    <w:rsid w:val="0C1C1816"/>
    <w:rsid w:val="0E9E4764"/>
    <w:rsid w:val="0F4446C6"/>
    <w:rsid w:val="11F8418B"/>
    <w:rsid w:val="132C233E"/>
    <w:rsid w:val="133438E9"/>
    <w:rsid w:val="14F8278E"/>
    <w:rsid w:val="154A73F4"/>
    <w:rsid w:val="15E92E08"/>
    <w:rsid w:val="180E78A8"/>
    <w:rsid w:val="188D1AD1"/>
    <w:rsid w:val="19043765"/>
    <w:rsid w:val="1A626914"/>
    <w:rsid w:val="1AF57E02"/>
    <w:rsid w:val="1BBB0703"/>
    <w:rsid w:val="1C4366E7"/>
    <w:rsid w:val="1CE35E40"/>
    <w:rsid w:val="1CFC3677"/>
    <w:rsid w:val="1DC064A5"/>
    <w:rsid w:val="1E27575F"/>
    <w:rsid w:val="1ED63AA6"/>
    <w:rsid w:val="1EE44415"/>
    <w:rsid w:val="1FB060A5"/>
    <w:rsid w:val="207F1E07"/>
    <w:rsid w:val="23072480"/>
    <w:rsid w:val="23BF0FAD"/>
    <w:rsid w:val="24F353B2"/>
    <w:rsid w:val="251E60B7"/>
    <w:rsid w:val="2527505B"/>
    <w:rsid w:val="255D4ACB"/>
    <w:rsid w:val="2579610E"/>
    <w:rsid w:val="26586904"/>
    <w:rsid w:val="28610884"/>
    <w:rsid w:val="289160F1"/>
    <w:rsid w:val="28CA01D8"/>
    <w:rsid w:val="2A4144C9"/>
    <w:rsid w:val="2AA52955"/>
    <w:rsid w:val="2AB949A8"/>
    <w:rsid w:val="2B51698E"/>
    <w:rsid w:val="2CB61724"/>
    <w:rsid w:val="2D6F134E"/>
    <w:rsid w:val="315F16D9"/>
    <w:rsid w:val="31AD298A"/>
    <w:rsid w:val="3271320C"/>
    <w:rsid w:val="32CC0FF0"/>
    <w:rsid w:val="33080494"/>
    <w:rsid w:val="33136C1F"/>
    <w:rsid w:val="33680D19"/>
    <w:rsid w:val="34F82570"/>
    <w:rsid w:val="35523A2F"/>
    <w:rsid w:val="35D10DE4"/>
    <w:rsid w:val="378454BB"/>
    <w:rsid w:val="383E64EC"/>
    <w:rsid w:val="3848736B"/>
    <w:rsid w:val="38A1220E"/>
    <w:rsid w:val="39167469"/>
    <w:rsid w:val="392C6D82"/>
    <w:rsid w:val="3DDA0A65"/>
    <w:rsid w:val="41322966"/>
    <w:rsid w:val="41325F50"/>
    <w:rsid w:val="43394480"/>
    <w:rsid w:val="43994F1E"/>
    <w:rsid w:val="43A0005B"/>
    <w:rsid w:val="44FE772F"/>
    <w:rsid w:val="45F96148"/>
    <w:rsid w:val="46535859"/>
    <w:rsid w:val="476D19DC"/>
    <w:rsid w:val="48174664"/>
    <w:rsid w:val="48847F4B"/>
    <w:rsid w:val="493078C5"/>
    <w:rsid w:val="49A05D40"/>
    <w:rsid w:val="4A2C089A"/>
    <w:rsid w:val="4AC97E97"/>
    <w:rsid w:val="4AF40C8C"/>
    <w:rsid w:val="4BDE4FE9"/>
    <w:rsid w:val="4C7724CE"/>
    <w:rsid w:val="4C8F6EBF"/>
    <w:rsid w:val="4CE511D4"/>
    <w:rsid w:val="4D4B557E"/>
    <w:rsid w:val="4F027D72"/>
    <w:rsid w:val="4F5D5052"/>
    <w:rsid w:val="4FBB4555"/>
    <w:rsid w:val="516528E4"/>
    <w:rsid w:val="536B1A18"/>
    <w:rsid w:val="564E08D4"/>
    <w:rsid w:val="56D163C8"/>
    <w:rsid w:val="5A3317D1"/>
    <w:rsid w:val="5A427419"/>
    <w:rsid w:val="5A690D4F"/>
    <w:rsid w:val="5BE663CF"/>
    <w:rsid w:val="5CCB1593"/>
    <w:rsid w:val="5CE15514"/>
    <w:rsid w:val="5FCD7FD2"/>
    <w:rsid w:val="607105DC"/>
    <w:rsid w:val="60DA0BF8"/>
    <w:rsid w:val="611D1C60"/>
    <w:rsid w:val="61DF4125"/>
    <w:rsid w:val="62515B87"/>
    <w:rsid w:val="62D53116"/>
    <w:rsid w:val="63304B00"/>
    <w:rsid w:val="6346457F"/>
    <w:rsid w:val="63A850AF"/>
    <w:rsid w:val="63D3125A"/>
    <w:rsid w:val="646A2293"/>
    <w:rsid w:val="65907AD8"/>
    <w:rsid w:val="65D969F1"/>
    <w:rsid w:val="677B7778"/>
    <w:rsid w:val="67E52EE1"/>
    <w:rsid w:val="68684D3C"/>
    <w:rsid w:val="68B166E3"/>
    <w:rsid w:val="68C748AC"/>
    <w:rsid w:val="68D91796"/>
    <w:rsid w:val="691D5B26"/>
    <w:rsid w:val="693764BC"/>
    <w:rsid w:val="6951448C"/>
    <w:rsid w:val="69B8584F"/>
    <w:rsid w:val="6A7318D2"/>
    <w:rsid w:val="6D262AD0"/>
    <w:rsid w:val="6D3C22F3"/>
    <w:rsid w:val="6D8C5028"/>
    <w:rsid w:val="6DC72505"/>
    <w:rsid w:val="6F491A22"/>
    <w:rsid w:val="701337DF"/>
    <w:rsid w:val="70D11B64"/>
    <w:rsid w:val="713954C7"/>
    <w:rsid w:val="71495199"/>
    <w:rsid w:val="722C2936"/>
    <w:rsid w:val="726C367A"/>
    <w:rsid w:val="72BF41FF"/>
    <w:rsid w:val="72E32DBD"/>
    <w:rsid w:val="73770529"/>
    <w:rsid w:val="737A5923"/>
    <w:rsid w:val="75EA6D90"/>
    <w:rsid w:val="77021803"/>
    <w:rsid w:val="77127A91"/>
    <w:rsid w:val="777234E1"/>
    <w:rsid w:val="77B8724A"/>
    <w:rsid w:val="77E01C48"/>
    <w:rsid w:val="788C05D2"/>
    <w:rsid w:val="7CCD74EF"/>
    <w:rsid w:val="7E7F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Lines/>
      <w:widowControl/>
      <w:spacing w:before="100" w:beforeLines="0" w:after="100" w:afterLines="0" w:line="408" w:lineRule="auto"/>
      <w:jc w:val="center"/>
      <w:outlineLvl w:val="1"/>
    </w:pPr>
    <w:rPr>
      <w:rFonts w:ascii="仿宋_GB2312" w:eastAsia="仿宋_GB2312"/>
      <w:b/>
      <w:color w:val="000000"/>
      <w:sz w:val="32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toc 5"/>
    <w:basedOn w:val="1"/>
    <w:next w:val="1"/>
    <w:qFormat/>
    <w:uiPriority w:val="0"/>
    <w:pPr>
      <w:ind w:left="1680" w:leftChars="80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qFormat/>
    <w:uiPriority w:val="0"/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3">
    <w:name w:val="Table Text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59</Pages>
  <Words>8262</Words>
  <Characters>9096</Characters>
  <Lines>0</Lines>
  <Paragraphs>0</Paragraphs>
  <TotalTime>40</TotalTime>
  <ScaleCrop>false</ScaleCrop>
  <LinksUpToDate>false</LinksUpToDate>
  <CharactersWithSpaces>9187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2026-06-17T02:11:00Z</dcterms:created>
  <dc:creator>王木木</dc:creator>
  <cp:lastModifiedBy>YY</cp:lastModifiedBy>
  <cp:lastPrinted>2026-06-23T07:12:00Z</cp:lastPrinted>
  <dcterms:modified xsi:type="dcterms:W3CDTF">2026-09-29T07:17:30Z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8B9E0FE01A8E44C4BFDEEFB28E1BF367_11</vt:lpwstr>
  </property>
  <property fmtid="{D5CDD505-2E9C-101B-9397-08002B2CF9AE}" pid="4" name="KSOTemplateDocerSaveRecord">
    <vt:lpwstr>eyJoZGlkIjoiZTIwYjE2NzhkNDM2Y2Y5NzI2YzFkODFmZGY5MzM4MWUiLCJ1c2VySWQiOiI0OTYzNTAzMzUifQ==</vt:lpwstr>
  </property>
</Properties>
</file>