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84"/>
          <w:szCs w:val="84"/>
        </w:rPr>
      </w:pPr>
    </w:p>
    <w:p>
      <w:pPr>
        <w:pStyle w:val="17"/>
        <w:jc w:val="center"/>
        <w:rPr>
          <w:sz w:val="84"/>
          <w:szCs w:val="84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岳阳市固体废物处置服务中心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7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56"/>
          <w:szCs w:val="56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jc w:val="center"/>
        <w:rPr>
          <w:sz w:val="32"/>
          <w:szCs w:val="32"/>
        </w:rPr>
      </w:pPr>
    </w:p>
    <w:p>
      <w:pPr>
        <w:pStyle w:val="17"/>
        <w:spacing w:line="500" w:lineRule="exact"/>
        <w:ind w:firstLine="4320" w:firstLineChars="1200"/>
        <w:jc w:val="both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</w:t>
      </w:r>
      <w:r>
        <w:rPr>
          <w:rFonts w:hint="eastAsia"/>
          <w:b/>
          <w:sz w:val="36"/>
          <w:szCs w:val="28"/>
          <w:lang w:val="en-US" w:eastAsia="zh-CN"/>
        </w:rPr>
        <w:t xml:space="preserve">  </w:t>
      </w:r>
      <w:r>
        <w:rPr>
          <w:rFonts w:hint="eastAsia"/>
          <w:b/>
          <w:sz w:val="36"/>
          <w:szCs w:val="28"/>
        </w:rPr>
        <w:t>录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28"/>
          <w:szCs w:val="28"/>
        </w:rPr>
        <w:t>岳阳市固体废物处置服务中心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单位概况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7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7"/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第一部分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岳阳市固体废物处置服务中心单位概况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1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负责岳阳市静脉产业园区（以下简称园区）的发展规划、控详规划和规划环评的编制和实施的行政辅助工作；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负责园区内企业日常运营监管的事务性工作，协助园区内企业做好各类扶持政策的申报工作；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负责园区内政府投资的基础设施建设和维护工作；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负责市中心城区餐厨垃圾收集、运输处置统筹协调、监督、考核等事务性工作；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负责罗家坳生活垃圾填埋场的日常管理；</w:t>
      </w:r>
    </w:p>
    <w:p>
      <w:pPr>
        <w:numPr>
          <w:ilvl w:val="0"/>
          <w:numId w:val="2"/>
        </w:numPr>
        <w:ind w:firstLine="800" w:firstLineChars="2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完成市城市管理和综合执法局交办的其他事项。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岳阳市固体废物处置服务中心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内设机构包括：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综合部、园区服务部、固体废物服务部三个职能部室。</w:t>
      </w:r>
    </w:p>
    <w:p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2023年度部门决算汇总公开单位仅包括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</w:rPr>
        <w:t>岳阳市固体废物处置服务中心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CESI仿宋-GB2312" w:hAnsi="CESI仿宋-GB2312" w:eastAsia="CESI仿宋-GB2312" w:cs="CESI仿宋-GB2312"/>
          <w:i/>
          <w:iCs/>
          <w:color w:val="auto"/>
          <w:sz w:val="32"/>
          <w:szCs w:val="32"/>
          <w:highlight w:val="white"/>
        </w:rPr>
        <w:t>。</w:t>
      </w:r>
    </w:p>
    <w:p>
      <w:pPr>
        <w:pStyle w:val="17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pStyle w:val="17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部门决算表</w:t>
      </w:r>
    </w:p>
    <w:p>
      <w:pPr>
        <w:pStyle w:val="17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（见附件）</w:t>
      </w:r>
    </w:p>
    <w:p>
      <w:pPr>
        <w:pStyle w:val="17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第三部分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年度部门决算情况说明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44.58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55.42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楷体" w:hAnsi="楷体" w:eastAsia="楷体" w:cs="楷体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415.87万元，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住房保障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（类）党委办公厅（室）及相关机构事务（款）行政运行（项）。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（类）行政事业单位养老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（类）其他社会保障和就业支出（款）其他社会保障和就业支出（项）。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（类）城乡社区管理事务（款） 行政运行（项）。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（类）城乡社区管理事务（款）其他城乡社区管理事务支出（项）。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（类）城乡社区规划与管理（款）城乡社区规划与管理（项）。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 其他城乡社区支出（款） 其他城乡社区支出（项）。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（类）住房改革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住房公积金（项）。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我单位为机构改革从岳阳市城管事务中心分立新增单位，2023年中开始独立核算，年初无预算。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86.36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电费、邮电费、物业管理费、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维修（护）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劳务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委托业务费、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工会经费、福利费、其他商品和服务支出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2023年度国有资本经营预算财政拨款收入0万元；年初结转和结余0万元；支出0万元，其中：基本支出0万元，项目支出0万元；年末结转和结余0万元。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我单位为机构改革从岳阳市城管事务中心分立新增单位，2023年中开始独立核算，上年无数据。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我单位2023年度无因公出国（境）费支出。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当年没有购置公务用车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7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本单位为全额拨款事业单位，按照机关运行经费的口径，本年度机关运行经费为0。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7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本单位无会议费的预算和支出决算数；无培训费的预算和支出决算数；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无举办节庆、晚会、论坛、赛事等活动的预算和支出决算数。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277.18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230.59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277.18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277.18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431.98万元，政府性基金预算支出0万元，国有资本经营预算支出0万元。从评价情况来看，整体支出绩效评价中，2023年整体支出449.88万元，其中：基本支出200.56万元，项目支出249.32万元，本单位整体支出绩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评综合评分98.92分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项目3个，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共涉及资金249.32万元，占一般公共预算项目支出总额的100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政府性基金预算项目支出开展绩效自评，项目0个，共涉及资金0万元（由于政府性基金预算项目支出总额为0，故无法计算占政府性基金预算项目支出总额比重）。组织对国有资本经营预算项目支出开展绩效自评，项目0个，共涉及资金0万元（由于国有资本经营预算项目支出总额为0，故无法计算占国有资本经营预算项目支出总额的比重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从评价情况来看，项目绩效自评得分均在97分以上，评价结果等次为优秀。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根据年初设定的绩效目标，绩效自评得分为98.92 分。全年预算数为453.55万元，执行数为449.88万元，完成预算的99.19%。绩效目标完成情况：一是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市生活垃圾焚烧发电项目一期2023年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共焚烧生活垃圾：中心城区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万吨，境外垃圾9.2万吨,上网发电量13899万度，市财政拨付焚烧补贴费约2250万元。共处理炉渣8.37万余吨；共处理医疗废物2850余吨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罗家坳无害化处理场2023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填埋生活垃圾焚烧飞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截止目前填埋区共埋飞灰5.66万m³，剩余库容42.2747万m³，年内共处理垃圾渗滤液6400吨，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渗滤液处理后全部达标排放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厨余垃圾资源化利用和无害化处理项目，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岳阳市中心城区共收运12189.5吨餐厨垃圾，共增加收运线路16条，收运车辆16辆；签约门店2373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，共处置餐厨垃圾12189.5吨，产生废渣1562.92吨，污泥231.2吨，生产提炼餐厨油483.58吨，生产提炼地沟油133.48吨，厌氧系统进三相废水10266吨，产生沼气607747.2立方米，剩余沼渣运输至生活垃圾焚烧发电项目焚烧处置，做到了资源化、减量化、无害化处理；四是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静脉产业园区基础设施建设，加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大了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静脉产业园区已有项目的监督管理工作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安全与维稳工作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效落实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，保障了园区各类生产工作顺利实施。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存在的主要问题及原因：一是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预算不够精准。主要原因为单位编制预算时对不可预见因素评估不够，以及2023年单位预算单列，造成了一定的预算调整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预算绩效目标编制不够规范，指标关联细化程度有待进一步提升，可衡量性不强。主要原因为绩效管理由财务部门兼任，财务人员大多是会计、财务管理、经济学等专业，绩效管理不但需要掌握财经知识，还要熟悉相关政策、了解项目业务情况，需要具备管理学、法学、统计学、工程学等方面的知识，并持续更新知识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下一步改进措施：一是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科学合理编制预算，严格执行预算。按照《预算法》及其实施条例的相关规定，分析本年的预算执行情况，结合来年工作计划科学编制预算，避免年中大幅追加预算资金以及超预算现象。在预算执行中，严格按照预算科目支出，避免预算科目间的预算资金调剂，确需调剂的，按规定程序报批后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加强单位部门间沟通协调，掌握工作进度，及时申请预算资金，进一步提高预算执行率。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7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7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第四部分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名词解释</w:t>
      </w:r>
    </w:p>
    <w:p/>
    <w:p>
      <w:pPr>
        <w:pStyle w:val="10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20" w:firstLineChars="200"/>
        <w:textAlignment w:val="auto"/>
      </w:pPr>
    </w:p>
    <w:p/>
    <w:p>
      <w:pPr>
        <w:pStyle w:val="17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部分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F6D094"/>
    <w:multiLevelType w:val="singleLevel"/>
    <w:tmpl w:val="7DF6D0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BlMjkxOGJkZTY2YWVjYTkxNWZjODEzNjkwZDc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0B156E"/>
    <w:rsid w:val="059958AD"/>
    <w:rsid w:val="05A13C30"/>
    <w:rsid w:val="05FD6A11"/>
    <w:rsid w:val="0D7E14A8"/>
    <w:rsid w:val="0D8F573A"/>
    <w:rsid w:val="12583BA5"/>
    <w:rsid w:val="13BA5B9C"/>
    <w:rsid w:val="15BA8B31"/>
    <w:rsid w:val="16A42B33"/>
    <w:rsid w:val="1D97DEFF"/>
    <w:rsid w:val="1DB63878"/>
    <w:rsid w:val="1DFF72E5"/>
    <w:rsid w:val="1EFC6F07"/>
    <w:rsid w:val="1F7B95C0"/>
    <w:rsid w:val="1FF990A3"/>
    <w:rsid w:val="22AC03C2"/>
    <w:rsid w:val="2BB9B3DA"/>
    <w:rsid w:val="2BBF23A4"/>
    <w:rsid w:val="2BEF974C"/>
    <w:rsid w:val="2D7D6DA5"/>
    <w:rsid w:val="2FDF85B8"/>
    <w:rsid w:val="2FFF22B2"/>
    <w:rsid w:val="2FFFEE04"/>
    <w:rsid w:val="30D3D040"/>
    <w:rsid w:val="31C95635"/>
    <w:rsid w:val="33DFD1D1"/>
    <w:rsid w:val="34DF85B0"/>
    <w:rsid w:val="3673D475"/>
    <w:rsid w:val="37BD8F1B"/>
    <w:rsid w:val="3B131EB2"/>
    <w:rsid w:val="3B8F36BC"/>
    <w:rsid w:val="3BB56077"/>
    <w:rsid w:val="3BFB4DB0"/>
    <w:rsid w:val="3DD3F331"/>
    <w:rsid w:val="3DF8CB71"/>
    <w:rsid w:val="3F7E44B3"/>
    <w:rsid w:val="3FFD726E"/>
    <w:rsid w:val="40503261"/>
    <w:rsid w:val="43CB8D7A"/>
    <w:rsid w:val="491FF225"/>
    <w:rsid w:val="4CFD40E9"/>
    <w:rsid w:val="4DC62E27"/>
    <w:rsid w:val="4EEFE9EB"/>
    <w:rsid w:val="4F3C0B12"/>
    <w:rsid w:val="4FCBF5F5"/>
    <w:rsid w:val="4FFD214C"/>
    <w:rsid w:val="53310227"/>
    <w:rsid w:val="5352765A"/>
    <w:rsid w:val="55BE612A"/>
    <w:rsid w:val="563B2F80"/>
    <w:rsid w:val="5777D4F5"/>
    <w:rsid w:val="57FF92FF"/>
    <w:rsid w:val="592218FD"/>
    <w:rsid w:val="59DD8326"/>
    <w:rsid w:val="5A7B0A82"/>
    <w:rsid w:val="5B330114"/>
    <w:rsid w:val="5DB27F0F"/>
    <w:rsid w:val="5DEF592A"/>
    <w:rsid w:val="5E9C2B70"/>
    <w:rsid w:val="5F7E3A80"/>
    <w:rsid w:val="5FBD3D7B"/>
    <w:rsid w:val="5FC6BB1E"/>
    <w:rsid w:val="5FF720F1"/>
    <w:rsid w:val="63B6FF44"/>
    <w:rsid w:val="63D062E3"/>
    <w:rsid w:val="63FC5D72"/>
    <w:rsid w:val="654C68E7"/>
    <w:rsid w:val="65FF2B8F"/>
    <w:rsid w:val="66A3383B"/>
    <w:rsid w:val="67FF5C0B"/>
    <w:rsid w:val="68510222"/>
    <w:rsid w:val="6BAA4A2F"/>
    <w:rsid w:val="6BF69643"/>
    <w:rsid w:val="6D074340"/>
    <w:rsid w:val="6DBF703F"/>
    <w:rsid w:val="6DF70268"/>
    <w:rsid w:val="6DFF9B8B"/>
    <w:rsid w:val="6EF65CE9"/>
    <w:rsid w:val="6EF74AE5"/>
    <w:rsid w:val="6EFC0924"/>
    <w:rsid w:val="6FB74722"/>
    <w:rsid w:val="6FC8E17E"/>
    <w:rsid w:val="6FEF8B7E"/>
    <w:rsid w:val="6FFBFC11"/>
    <w:rsid w:val="71A6591B"/>
    <w:rsid w:val="72E50B8B"/>
    <w:rsid w:val="737D59BA"/>
    <w:rsid w:val="737F32B1"/>
    <w:rsid w:val="73E7745D"/>
    <w:rsid w:val="74A470FC"/>
    <w:rsid w:val="74CF8468"/>
    <w:rsid w:val="752B8F31"/>
    <w:rsid w:val="757BEF82"/>
    <w:rsid w:val="758BEA40"/>
    <w:rsid w:val="763FF145"/>
    <w:rsid w:val="76BD80B0"/>
    <w:rsid w:val="77BFC9B1"/>
    <w:rsid w:val="77C37683"/>
    <w:rsid w:val="77EB4493"/>
    <w:rsid w:val="789FA4BE"/>
    <w:rsid w:val="78F1B689"/>
    <w:rsid w:val="79AF948C"/>
    <w:rsid w:val="79FF515B"/>
    <w:rsid w:val="7A6AECC6"/>
    <w:rsid w:val="7B4F4006"/>
    <w:rsid w:val="7B795988"/>
    <w:rsid w:val="7BBCF1D5"/>
    <w:rsid w:val="7BF62FA2"/>
    <w:rsid w:val="7C7E1F1B"/>
    <w:rsid w:val="7D2B461D"/>
    <w:rsid w:val="7DEFAF41"/>
    <w:rsid w:val="7DEFF404"/>
    <w:rsid w:val="7E6F0CF1"/>
    <w:rsid w:val="7E957ACC"/>
    <w:rsid w:val="7E9E1962"/>
    <w:rsid w:val="7E9F11B4"/>
    <w:rsid w:val="7EB75A2D"/>
    <w:rsid w:val="7EBC3182"/>
    <w:rsid w:val="7EC47C4B"/>
    <w:rsid w:val="7F37EC1E"/>
    <w:rsid w:val="7F3983D2"/>
    <w:rsid w:val="7F45FCD3"/>
    <w:rsid w:val="7F6E9851"/>
    <w:rsid w:val="7F7DCD9D"/>
    <w:rsid w:val="7F7E2E1B"/>
    <w:rsid w:val="7F7FA2D7"/>
    <w:rsid w:val="7F970A6F"/>
    <w:rsid w:val="7F9E63D9"/>
    <w:rsid w:val="7FC1FFF3"/>
    <w:rsid w:val="7FC69637"/>
    <w:rsid w:val="7FDF8620"/>
    <w:rsid w:val="7FF7DCC2"/>
    <w:rsid w:val="7FF9426A"/>
    <w:rsid w:val="7FF9B1A1"/>
    <w:rsid w:val="7FFB242F"/>
    <w:rsid w:val="7FFDB408"/>
    <w:rsid w:val="7FFE004F"/>
    <w:rsid w:val="7FFE4EEB"/>
    <w:rsid w:val="8FF7DBB2"/>
    <w:rsid w:val="95FB2B98"/>
    <w:rsid w:val="9A639BC2"/>
    <w:rsid w:val="9ADC9252"/>
    <w:rsid w:val="9FCD08E0"/>
    <w:rsid w:val="9FD22CD2"/>
    <w:rsid w:val="9FF7D786"/>
    <w:rsid w:val="9FFA8F7C"/>
    <w:rsid w:val="A3B37436"/>
    <w:rsid w:val="ABBFB23D"/>
    <w:rsid w:val="ADEBB7D4"/>
    <w:rsid w:val="AEFF2EBC"/>
    <w:rsid w:val="AFFFCEC1"/>
    <w:rsid w:val="B27ED2D7"/>
    <w:rsid w:val="B9EF4ED0"/>
    <w:rsid w:val="BA7AAB26"/>
    <w:rsid w:val="BCA7D0E7"/>
    <w:rsid w:val="BD7E06E0"/>
    <w:rsid w:val="BD9D4F80"/>
    <w:rsid w:val="BE4FD64E"/>
    <w:rsid w:val="BE7D770D"/>
    <w:rsid w:val="BF4F2DB1"/>
    <w:rsid w:val="BFB3DD9D"/>
    <w:rsid w:val="BFDE0BA3"/>
    <w:rsid w:val="BFFB0383"/>
    <w:rsid w:val="BFFF4BCE"/>
    <w:rsid w:val="C3B4DA5A"/>
    <w:rsid w:val="CBDFD368"/>
    <w:rsid w:val="CBF2019C"/>
    <w:rsid w:val="CBFF70E0"/>
    <w:rsid w:val="CDCF5094"/>
    <w:rsid w:val="CEBD72FC"/>
    <w:rsid w:val="CEFDE4F3"/>
    <w:rsid w:val="CEFF03D5"/>
    <w:rsid w:val="CFEBC5F8"/>
    <w:rsid w:val="CFF50B82"/>
    <w:rsid w:val="CFF65D42"/>
    <w:rsid w:val="CFF7B5DC"/>
    <w:rsid w:val="CFFFAD89"/>
    <w:rsid w:val="D3FFB732"/>
    <w:rsid w:val="D7FF0468"/>
    <w:rsid w:val="DA7303D9"/>
    <w:rsid w:val="DB2E8CBD"/>
    <w:rsid w:val="DBC9BFAC"/>
    <w:rsid w:val="DBFEC305"/>
    <w:rsid w:val="DEAEBE41"/>
    <w:rsid w:val="DF96928A"/>
    <w:rsid w:val="DFCD7622"/>
    <w:rsid w:val="DFF76D83"/>
    <w:rsid w:val="DFFE359E"/>
    <w:rsid w:val="DFFE4FFD"/>
    <w:rsid w:val="E26E2007"/>
    <w:rsid w:val="E2F61B1C"/>
    <w:rsid w:val="E3FF5F5A"/>
    <w:rsid w:val="E9BFFB24"/>
    <w:rsid w:val="EAFBFDD7"/>
    <w:rsid w:val="EE3F18FC"/>
    <w:rsid w:val="EEABED75"/>
    <w:rsid w:val="EECF6039"/>
    <w:rsid w:val="EF6C7774"/>
    <w:rsid w:val="EF6F1CB2"/>
    <w:rsid w:val="EF77D3D0"/>
    <w:rsid w:val="F0FFF981"/>
    <w:rsid w:val="F1FD723A"/>
    <w:rsid w:val="F29D300A"/>
    <w:rsid w:val="F3BF59FC"/>
    <w:rsid w:val="F52D0886"/>
    <w:rsid w:val="F56FDF51"/>
    <w:rsid w:val="F6B69F17"/>
    <w:rsid w:val="F75D9B7C"/>
    <w:rsid w:val="F76FB4AC"/>
    <w:rsid w:val="F77F1D61"/>
    <w:rsid w:val="F77F323A"/>
    <w:rsid w:val="F7EB85B9"/>
    <w:rsid w:val="F7F97245"/>
    <w:rsid w:val="F7FD1F1A"/>
    <w:rsid w:val="F7FED3A9"/>
    <w:rsid w:val="F8C9DB26"/>
    <w:rsid w:val="F97E8EAE"/>
    <w:rsid w:val="F9DBEF8E"/>
    <w:rsid w:val="FAAFD4BA"/>
    <w:rsid w:val="FB36E1A6"/>
    <w:rsid w:val="FB3BE134"/>
    <w:rsid w:val="FB7FAB76"/>
    <w:rsid w:val="FB7FEA50"/>
    <w:rsid w:val="FB9BA567"/>
    <w:rsid w:val="FBFCF03E"/>
    <w:rsid w:val="FBFFB106"/>
    <w:rsid w:val="FCF4EF61"/>
    <w:rsid w:val="FCFF4275"/>
    <w:rsid w:val="FD774035"/>
    <w:rsid w:val="FD7FEEEA"/>
    <w:rsid w:val="FDB7B6A4"/>
    <w:rsid w:val="FDBDDD71"/>
    <w:rsid w:val="FDFFB577"/>
    <w:rsid w:val="FEE58EED"/>
    <w:rsid w:val="FEEA50FE"/>
    <w:rsid w:val="FEF78F1A"/>
    <w:rsid w:val="FEF92B8A"/>
    <w:rsid w:val="FEFF7D7D"/>
    <w:rsid w:val="FF7D47A9"/>
    <w:rsid w:val="FFB703FB"/>
    <w:rsid w:val="FFC18541"/>
    <w:rsid w:val="FFCF21CB"/>
    <w:rsid w:val="FFCFEA6D"/>
    <w:rsid w:val="FFDBD082"/>
    <w:rsid w:val="FFDE6436"/>
    <w:rsid w:val="FFEF1778"/>
    <w:rsid w:val="FFF77699"/>
    <w:rsid w:val="FFF91824"/>
    <w:rsid w:val="FFFBC9E9"/>
    <w:rsid w:val="FFFE992F"/>
    <w:rsid w:val="FFFEB5CD"/>
    <w:rsid w:val="FFFF1C8B"/>
    <w:rsid w:val="FF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default"/>
      <w:sz w:val="24"/>
      <w:szCs w:val="24"/>
    </w:rPr>
  </w:style>
  <w:style w:type="paragraph" w:styleId="5">
    <w:name w:val="Body Text Indent"/>
    <w:basedOn w:val="1"/>
    <w:next w:val="6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5391</Words>
  <Characters>5872</Characters>
  <Lines>63</Lines>
  <Paragraphs>18</Paragraphs>
  <TotalTime>1</TotalTime>
  <ScaleCrop>false</ScaleCrop>
  <LinksUpToDate>false</LinksUpToDate>
  <CharactersWithSpaces>5898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2020-07-11T18:32:00Z</dcterms:created>
  <dc:creator>李航 null</dc:creator>
  <cp:lastModifiedBy>TCB003</cp:lastModifiedBy>
  <cp:lastPrinted>2024-08-12T02:20:00Z</cp:lastPrinted>
  <dcterms:modified xsi:type="dcterms:W3CDTF">2025-08-25T14:48:21Z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98623D6660B449428EB8E073C6C952EA</vt:lpwstr>
  </property>
</Properties>
</file>