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202</w:t>
      </w:r>
      <w:r>
        <w:rPr>
          <w:rFonts w:hint="eastAsia" w:ascii="方正小标宋_GBK" w:hAnsi="方正小标宋_GBK" w:eastAsia="方正小标宋_GBK" w:cs="方正小标宋_GBK"/>
          <w:b/>
          <w:bCs/>
          <w:sz w:val="72"/>
          <w:szCs w:val="72"/>
          <w:lang w:val="en-US" w:eastAsia="zh-CN"/>
        </w:rPr>
        <w:t>3</w:t>
      </w:r>
      <w:r>
        <w:rPr>
          <w:rFonts w:hint="eastAsia" w:ascii="方正小标宋_GBK" w:hAnsi="方正小标宋_GBK" w:eastAsia="方正小标宋_GBK" w:cs="方正小标宋_GBK"/>
          <w:b/>
          <w:bCs/>
          <w:sz w:val="72"/>
          <w:szCs w:val="72"/>
        </w:rPr>
        <w:t>年度</w:t>
      </w:r>
      <w:r>
        <w:rPr>
          <w:rFonts w:hint="eastAsia" w:ascii="方正小标宋_GBK" w:hAnsi="方正小标宋_GBK" w:eastAsia="方正小标宋_GBK" w:cs="方正小标宋_GBK"/>
          <w:b/>
          <w:bCs/>
          <w:sz w:val="72"/>
          <w:szCs w:val="72"/>
          <w:lang w:val="en-US" w:eastAsia="zh-CN"/>
        </w:rPr>
        <w:t>岳阳市停车管理服务中心</w:t>
      </w:r>
      <w:r>
        <w:rPr>
          <w:rFonts w:hint="eastAsia" w:ascii="方正小标宋_GBK" w:hAnsi="方正小标宋_GBK" w:eastAsia="方正小标宋_GBK" w:cs="方正小标宋_GBK"/>
          <w:b/>
          <w:bCs/>
          <w:sz w:val="72"/>
          <w:szCs w:val="72"/>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keepNext w:val="0"/>
        <w:keepLines w:val="0"/>
        <w:pageBreakBefore w:val="0"/>
        <w:widowControl w:val="0"/>
        <w:kinsoku/>
        <w:wordWrap/>
        <w:overflowPunct/>
        <w:topLinePunct w:val="0"/>
        <w:bidi w:val="0"/>
        <w:snapToGrid/>
        <w:spacing w:line="460" w:lineRule="exact"/>
        <w:ind w:firstLine="4320" w:firstLineChars="1200"/>
        <w:jc w:val="both"/>
        <w:textAlignment w:val="auto"/>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岳阳市停车管理服务中心</w:t>
      </w:r>
      <w:r>
        <w:rPr>
          <w:rFonts w:hint="eastAsia" w:ascii="黑体" w:hAnsi="黑体" w:eastAsia="黑体" w:cs="黑体"/>
          <w:b w:val="0"/>
          <w:bCs/>
          <w:sz w:val="28"/>
          <w:szCs w:val="28"/>
        </w:rPr>
        <w:t>单位概况</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eastAsia" w:ascii="CESI仿宋-GB2312" w:hAnsi="CESI仿宋-GB2312" w:eastAsia="CESI仿宋-GB2312" w:cs="CESI仿宋-GB2312"/>
          <w:sz w:val="28"/>
          <w:szCs w:val="28"/>
        </w:rPr>
        <w:t>202</w:t>
      </w:r>
      <w:r>
        <w:rPr>
          <w:rFonts w:hint="eastAsia" w:ascii="CESI仿宋-GB2312" w:hAnsi="CESI仿宋-GB2312" w:eastAsia="CESI仿宋-GB2312" w:cs="CESI仿宋-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keepNext w:val="0"/>
        <w:keepLines w:val="0"/>
        <w:pageBreakBefore w:val="0"/>
        <w:widowControl w:val="0"/>
        <w:kinsoku/>
        <w:wordWrap/>
        <w:overflowPunct/>
        <w:topLinePunct w:val="0"/>
        <w:bidi w:val="0"/>
        <w:snapToGrid/>
        <w:spacing w:line="460" w:lineRule="exact"/>
        <w:jc w:val="center"/>
        <w:textAlignment w:val="auto"/>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44"/>
          <w:szCs w:val="44"/>
        </w:rPr>
      </w:pPr>
    </w:p>
    <w:p>
      <w:pPr>
        <w:pStyle w:val="14"/>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第一部分 </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岳阳市停车管理服务中心</w:t>
      </w:r>
      <w:r>
        <w:rPr>
          <w:rFonts w:hint="eastAsia" w:ascii="方正小标宋_GBK" w:hAnsi="方正小标宋_GBK" w:eastAsia="方正小标宋_GBK" w:cs="方正小标宋_GBK"/>
          <w:b/>
          <w:bCs/>
          <w:sz w:val="44"/>
          <w:szCs w:val="44"/>
        </w:rPr>
        <w:t>单位概况</w:t>
      </w:r>
    </w:p>
    <w:p>
      <w:pPr>
        <w:pStyle w:val="2"/>
        <w:rPr>
          <w:rFonts w:hint="eastAsia"/>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24"/>
          <w:lang w:val="en" w:eastAsia="zh-CN"/>
        </w:rPr>
        <w:t xml:space="preserve"> </w:t>
      </w:r>
      <w:r>
        <w:rPr>
          <w:rFonts w:hint="eastAsia" w:ascii="仿宋_GB2312" w:hAnsi="仿宋_GB2312" w:eastAsia="仿宋_GB2312" w:cs="仿宋_GB2312"/>
          <w:sz w:val="32"/>
          <w:szCs w:val="24"/>
        </w:rPr>
        <w:t>负责依法对城区内人行道上的停车进行规范化管理，对乱停乱靠车辆和擅自划定停车泊位的违法行为依法实施行政处罚。</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（二）</w:t>
      </w:r>
      <w:r>
        <w:rPr>
          <w:rFonts w:hint="eastAsia" w:ascii="仿宋_GB2312" w:hAnsi="仿宋_GB2312" w:eastAsia="仿宋_GB2312" w:cs="仿宋_GB2312"/>
          <w:sz w:val="32"/>
          <w:szCs w:val="24"/>
        </w:rPr>
        <w:t>负责对经营性单位或个人需占用城市人行道停放车辆的，依法办理相关手续。</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 w:eastAsia="zh-CN"/>
        </w:rPr>
        <w:t>（</w:t>
      </w:r>
      <w:r>
        <w:rPr>
          <w:rFonts w:hint="eastAsia" w:ascii="仿宋_GB2312" w:hAnsi="仿宋_GB2312" w:eastAsia="仿宋_GB2312" w:cs="仿宋_GB2312"/>
          <w:sz w:val="32"/>
          <w:szCs w:val="24"/>
          <w:lang w:val="en-US" w:eastAsia="zh-CN"/>
        </w:rPr>
        <w:t>三）</w:t>
      </w:r>
      <w:r>
        <w:rPr>
          <w:rFonts w:hint="eastAsia" w:ascii="仿宋_GB2312" w:hAnsi="仿宋_GB2312" w:eastAsia="仿宋_GB2312" w:cs="仿宋_GB2312"/>
          <w:sz w:val="32"/>
          <w:szCs w:val="24"/>
        </w:rPr>
        <w:t>负责对社会停车场(含地下停车场)的收费和停车管理实行业务指导，对擅自变更停车用途的行为实施行政处罚。</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（四）</w:t>
      </w:r>
      <w:r>
        <w:rPr>
          <w:rFonts w:hint="eastAsia" w:ascii="仿宋_GB2312" w:hAnsi="仿宋_GB2312" w:eastAsia="仿宋_GB2312" w:cs="仿宋_GB2312"/>
          <w:sz w:val="32"/>
          <w:szCs w:val="24"/>
        </w:rPr>
        <w:t>负责对公益性社会停车场的设立进行规划和报建，对枫桥湖社会停车场及市政府交办管理的其他社会停车场进行维护和管理。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rPr>
        <w:t>承办上级主管部门交办的其他事</w:t>
      </w:r>
      <w:r>
        <w:rPr>
          <w:rFonts w:hint="eastAsia" w:ascii="仿宋_GB2312" w:hAnsi="仿宋_GB2312" w:eastAsia="仿宋_GB2312" w:cs="仿宋_GB2312"/>
          <w:sz w:val="32"/>
          <w:szCs w:val="24"/>
          <w:lang w:eastAsia="zh-CN"/>
        </w:rPr>
        <w:t>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bCs/>
          <w:kern w:val="0"/>
          <w:sz w:val="32"/>
          <w:szCs w:val="32"/>
          <w:lang w:val="en-US" w:eastAsia="zh-CN"/>
        </w:rPr>
        <w:t>岳阳市停车管理服务中心</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sz w:val="32"/>
          <w:szCs w:val="24"/>
        </w:rPr>
        <w:t>综合部、财务部、停车管理部、慢行交通服务部四个职能部室</w:t>
      </w:r>
      <w:r>
        <w:rPr>
          <w:rFonts w:hint="eastAsia" w:ascii="仿宋_GB2312" w:hAnsi="仿宋_GB2312" w:eastAsia="仿宋_GB2312" w:cs="仿宋_GB2312"/>
          <w:sz w:val="32"/>
          <w:szCs w:val="24"/>
          <w:lang w:eastAsia="zh-CN"/>
        </w:rPr>
        <w:t>。</w:t>
      </w:r>
    </w:p>
    <w:p>
      <w:pPr>
        <w:ind w:firstLine="640" w:firstLineChars="200"/>
        <w:jc w:val="left"/>
        <w:rPr>
          <w:rFonts w:hint="eastAsia" w:ascii="仿宋_GB2312" w:hAnsi="仿宋_GB2312" w:eastAsia="仿宋_GB2312" w:cs="仿宋_GB2312"/>
          <w:i/>
          <w:iCs/>
          <w:color w:val="auto"/>
          <w:sz w:val="32"/>
          <w:szCs w:val="32"/>
          <w:highlight w:val="white"/>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bCs/>
          <w:color w:val="auto"/>
          <w:kern w:val="0"/>
          <w:sz w:val="32"/>
          <w:szCs w:val="32"/>
          <w:lang w:val="en-US" w:eastAsia="zh-CN"/>
        </w:rPr>
        <w:t>岳阳市停车管理服务中心</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Pr>
        <w:pStyle w:val="2"/>
        <w:rPr>
          <w:rFonts w:hint="eastAsia"/>
        </w:rPr>
      </w:pPr>
    </w:p>
    <w:p>
      <w:pPr>
        <w:pStyle w:val="1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第二部分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部门决算表</w:t>
      </w:r>
    </w:p>
    <w:p>
      <w:pPr>
        <w:pStyle w:val="14"/>
        <w:keepNext w:val="0"/>
        <w:keepLines w:val="0"/>
        <w:pageBreakBefore w:val="0"/>
        <w:widowControl w:val="0"/>
        <w:kinsoku/>
        <w:wordWrap/>
        <w:overflowPunct/>
        <w:topLinePunct w:val="0"/>
        <w:autoSpaceDE w:val="0"/>
        <w:autoSpaceDN w:val="0"/>
        <w:bidi w:val="0"/>
        <w:adjustRightInd w:val="0"/>
        <w:snapToGrid/>
        <w:ind w:firstLine="3520" w:firstLineChars="800"/>
        <w:jc w:val="both"/>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（见附件）</w:t>
      </w:r>
    </w:p>
    <w:p>
      <w:pPr>
        <w:pStyle w:val="14"/>
        <w:jc w:val="both"/>
        <w:rPr>
          <w:rFonts w:hint="eastAsia" w:ascii="方正小标宋_GBK" w:hAnsi="方正小标宋_GBK" w:eastAsia="方正小标宋_GBK" w:cs="方正小标宋_GBK"/>
          <w:sz w:val="44"/>
          <w:szCs w:val="44"/>
        </w:rPr>
      </w:pP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第三部分</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21"/>
          <w:szCs w:val="21"/>
        </w:rPr>
      </w:pP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年度部门决算情况说明</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方正小标宋_GBK" w:hAnsi="方正小标宋_GBK" w:eastAsia="方正小标宋_GBK" w:cs="方正小标宋_GBK"/>
          <w:sz w:val="44"/>
          <w:szCs w:val="44"/>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631.77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662.92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51.20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2023年1月底退出运营服务，运营管理服务费用相应减少，导致本年度收入支出总额减少。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631.16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92.54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47.10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631.77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314.33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49.75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317.44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50.25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663.57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53.19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2023年1月底退出运营服务，运营管理服务费用相应减少，导致本年度财政拨款收入支出总额减少。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92.45</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663.57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53.19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2023年1月底退出运营服务，运营管理服务费用相应减少，导致本年度财政拨款支出总额减少。</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i w:val="0"/>
          <w:iCs w:val="0"/>
          <w:caps w:val="0"/>
          <w:color w:val="000000"/>
          <w:spacing w:val="0"/>
          <w:sz w:val="32"/>
          <w:szCs w:val="32"/>
        </w:rPr>
        <w:t>社会保障和就业（类）支出</w:t>
      </w:r>
      <w:r>
        <w:rPr>
          <w:rFonts w:hint="eastAsia" w:ascii="仿宋_GB2312" w:hAnsi="仿宋_GB2312" w:eastAsia="仿宋_GB2312" w:cs="仿宋_GB2312"/>
          <w:i w:val="0"/>
          <w:iCs w:val="0"/>
          <w:caps w:val="0"/>
          <w:color w:val="000000"/>
          <w:spacing w:val="0"/>
          <w:sz w:val="32"/>
          <w:szCs w:val="32"/>
          <w:lang w:val="en-US" w:eastAsia="zh-CN"/>
        </w:rPr>
        <w:t>28.61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i w:val="0"/>
          <w:iCs w:val="0"/>
          <w:caps w:val="0"/>
          <w:color w:val="000000"/>
          <w:spacing w:val="0"/>
          <w:sz w:val="32"/>
          <w:szCs w:val="32"/>
        </w:rPr>
        <w:t>；卫生健康（类）支出</w:t>
      </w:r>
      <w:r>
        <w:rPr>
          <w:rFonts w:hint="eastAsia" w:ascii="仿宋_GB2312" w:hAnsi="仿宋_GB2312" w:eastAsia="仿宋_GB2312" w:cs="仿宋_GB2312"/>
          <w:i w:val="0"/>
          <w:iCs w:val="0"/>
          <w:caps w:val="0"/>
          <w:color w:val="000000"/>
          <w:spacing w:val="0"/>
          <w:sz w:val="32"/>
          <w:szCs w:val="32"/>
          <w:lang w:val="en-US" w:eastAsia="zh-CN"/>
        </w:rPr>
        <w:t>11.53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sz w:val="32"/>
          <w:szCs w:val="32"/>
        </w:rPr>
        <w:t>城乡社区（类）支出</w:t>
      </w:r>
      <w:r>
        <w:rPr>
          <w:rFonts w:hint="eastAsia" w:ascii="仿宋_GB2312" w:hAnsi="仿宋_GB2312" w:eastAsia="仿宋_GB2312" w:cs="仿宋_GB2312"/>
          <w:i w:val="0"/>
          <w:iCs w:val="0"/>
          <w:caps w:val="0"/>
          <w:color w:val="000000"/>
          <w:spacing w:val="0"/>
          <w:sz w:val="32"/>
          <w:szCs w:val="32"/>
          <w:lang w:val="en-US" w:eastAsia="zh-CN"/>
        </w:rPr>
        <w:t>521.76万元，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89.33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住房保障（类）支出22.16万元，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416.45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140.25</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（类）行政事业单位养老支出（款） 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（类）其他社会保障和就业支出（款）其他社会保障和就业支出（项）。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3、卫生健康支出</w:t>
      </w:r>
      <w:r>
        <w:rPr>
          <w:rFonts w:hint="eastAsia" w:ascii="仿宋_GB2312" w:hAnsi="仿宋_GB2312" w:eastAsia="仿宋_GB2312" w:cs="仿宋_GB2312"/>
          <w:sz w:val="32"/>
          <w:szCs w:val="32"/>
        </w:rPr>
        <w:t>（类）行政事业单位医疗（款）事业单位医疗（项）。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99.05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我单位年中调出1人，</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缴费额减少。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4、城乡社区支出</w:t>
      </w:r>
      <w:r>
        <w:rPr>
          <w:rFonts w:hint="eastAsia" w:ascii="仿宋_GB2312" w:hAnsi="仿宋_GB2312" w:eastAsia="仿宋_GB2312" w:cs="仿宋_GB2312"/>
          <w:sz w:val="32"/>
          <w:szCs w:val="32"/>
        </w:rPr>
        <w:t>（类）城乡社区管理事务（款）行政运行（项）。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235.04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228.33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97.15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2023年终预算一体化系统升级，暂停资金支付业务，第四季度公车运行维护费用结转下年支付。</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5、城乡社区支出</w:t>
      </w:r>
      <w:r>
        <w:rPr>
          <w:rFonts w:hint="eastAsia" w:ascii="仿宋_GB2312" w:hAnsi="仿宋_GB2312" w:eastAsia="仿宋_GB2312" w:cs="仿宋_GB2312"/>
          <w:sz w:val="32"/>
          <w:szCs w:val="32"/>
        </w:rPr>
        <w:t>（类）城乡社区管理事务（款）其他城乡社区管理事务支出（项）。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104.63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年中财政下拨了代编城区人行道违停车辆管理及平台升级维护工作预算经费。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6、城乡社区支出</w:t>
      </w:r>
      <w:r>
        <w:rPr>
          <w:rFonts w:hint="eastAsia" w:ascii="仿宋_GB2312" w:hAnsi="仿宋_GB2312" w:eastAsia="仿宋_GB2312" w:cs="仿宋_GB2312"/>
          <w:sz w:val="32"/>
          <w:szCs w:val="32"/>
        </w:rPr>
        <w:t>（类）城乡社区规划与管理（款）城乡社区规划与管理（项）。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119.00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175.57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147.54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年中财政下拨了代编城区公共自行车租赁系统运营管理预算经费。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7、城乡社区支出</w:t>
      </w:r>
      <w:r>
        <w:rPr>
          <w:rFonts w:hint="eastAsia" w:ascii="仿宋_GB2312" w:hAnsi="仿宋_GB2312" w:eastAsia="仿宋_GB2312" w:cs="仿宋_GB2312"/>
          <w:sz w:val="32"/>
          <w:szCs w:val="32"/>
        </w:rPr>
        <w:t>（类）其他城乡社区支出（款）其他城乡社区支出（项）。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13.23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年中财政增拨了综合绩效奖部分人员经费。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8、住房保障支出</w:t>
      </w:r>
      <w:r>
        <w:rPr>
          <w:rFonts w:hint="eastAsia" w:ascii="仿宋_GB2312" w:hAnsi="仿宋_GB2312" w:eastAsia="仿宋_GB2312" w:cs="仿宋_GB2312"/>
          <w:sz w:val="32"/>
          <w:szCs w:val="32"/>
        </w:rPr>
        <w:t>（类）住房改革支出（款）住房公积金（项）。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313.73</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281.05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89.58</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32.68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10.42</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水费、电费、邮电费、物业管理费、差旅费、租赁费、培训费、工会经费、福利费、公务用车运行维护费、其他交通费用、其他商品和服务支出</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2023年度国有资本经营预算财政拨款收入0万元；年初结转和结余0万元；支出0万元；年末结转和结余0万元。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32.05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另外，2023年终预算一体化系统升级暂停资金支付业务，本年第四季度公车运行维护费用结转下年支付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40.99</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预算一体化系统升级暂停资金支付业务，第四季度公车运行维护费用结转下年支付</w:t>
      </w:r>
      <w:r>
        <w:rPr>
          <w:rFonts w:hint="eastAsia" w:ascii="仿宋_GB2312" w:hAnsi="仿宋_GB2312" w:eastAsia="仿宋_GB2312" w:cs="仿宋_GB2312"/>
          <w:sz w:val="32"/>
          <w:szCs w:val="32"/>
        </w:rPr>
        <w:t>。其中：</w:t>
      </w:r>
    </w:p>
    <w:p>
      <w:pPr>
        <w:pStyle w:val="9"/>
        <w:keepNext w:val="0"/>
        <w:keepLines w:val="0"/>
        <w:widowControl/>
        <w:suppressLineNumbers w:val="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i w:val="0"/>
          <w:iCs w:val="0"/>
          <w:caps w:val="0"/>
          <w:color w:val="000000"/>
          <w:spacing w:val="0"/>
          <w:sz w:val="32"/>
          <w:szCs w:val="32"/>
        </w:rPr>
        <w:t>我单位严格按预算执行决算</w:t>
      </w:r>
      <w:r>
        <w:rPr>
          <w:rFonts w:hint="eastAsia" w:ascii="仿宋_GB2312" w:hAnsi="仿宋_GB2312" w:eastAsia="仿宋_GB2312" w:cs="仿宋_GB2312"/>
          <w:sz w:val="32"/>
          <w:szCs w:val="32"/>
        </w:rPr>
        <w:t>，与上年</w:t>
      </w:r>
      <w:r>
        <w:rPr>
          <w:rFonts w:hint="eastAsia" w:ascii="仿宋_GB2312" w:hAnsi="仿宋_GB2312" w:eastAsia="仿宋_GB2312" w:cs="仿宋_GB2312"/>
          <w:i w:val="0"/>
          <w:iCs w:val="0"/>
          <w:caps w:val="0"/>
          <w:color w:val="000000"/>
          <w:spacing w:val="0"/>
          <w:sz w:val="32"/>
          <w:szCs w:val="32"/>
        </w:rPr>
        <w:t>一致，无增减变动，主要原因是未安排因公出国（境）活动。</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万元，决算数小于预算数的主要原因是</w:t>
      </w:r>
      <w:r>
        <w:rPr>
          <w:rFonts w:hint="eastAsia" w:ascii="仿宋_GB2312" w:hAnsi="仿宋_GB2312" w:eastAsia="仿宋_GB2312" w:cs="仿宋_GB2312"/>
          <w:i w:val="0"/>
          <w:iCs w:val="0"/>
          <w:caps w:val="0"/>
          <w:color w:val="000000"/>
          <w:spacing w:val="0"/>
          <w:sz w:val="32"/>
          <w:szCs w:val="32"/>
        </w:rPr>
        <w:t>严格执行中央八项规定，与上年相比减少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本年无公务接待活动</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i w:val="0"/>
          <w:iCs w:val="0"/>
          <w:caps w:val="0"/>
          <w:color w:val="000000"/>
          <w:spacing w:val="0"/>
          <w:sz w:val="32"/>
          <w:szCs w:val="32"/>
        </w:rPr>
        <w:t>我单位严格按预算执行决算；与上年一致，无增减变动，主要原因是两年均未购置公务用车。</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33.25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另外，2023年终预算一体化系统升级暂停资金支付业务，本年第四季度公车运行维护费用结转下年支付。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预算一体化系统升级暂停资金支付业务，第四季度公车运行维护费用结转下年支付。</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000000"/>
          <w:spacing w:val="0"/>
          <w:sz w:val="32"/>
          <w:szCs w:val="32"/>
        </w:rPr>
        <w:t>我单位</w:t>
      </w: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i w:val="0"/>
          <w:iCs w:val="0"/>
          <w:caps w:val="0"/>
          <w:color w:val="000000"/>
          <w:spacing w:val="0"/>
          <w:sz w:val="32"/>
          <w:szCs w:val="32"/>
        </w:rPr>
        <w:t>年度无因公出国（境）费支出。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000000"/>
          <w:spacing w:val="0"/>
          <w:sz w:val="32"/>
          <w:szCs w:val="32"/>
        </w:rPr>
        <w:t>我单位</w:t>
      </w: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i w:val="0"/>
          <w:iCs w:val="0"/>
          <w:caps w:val="0"/>
          <w:color w:val="000000"/>
          <w:spacing w:val="0"/>
          <w:sz w:val="32"/>
          <w:szCs w:val="32"/>
        </w:rPr>
        <w:t>年度无</w:t>
      </w:r>
      <w:r>
        <w:rPr>
          <w:rFonts w:hint="eastAsia" w:ascii="仿宋_GB2312" w:hAnsi="仿宋_GB2312" w:eastAsia="仿宋_GB2312" w:cs="仿宋_GB2312"/>
          <w:sz w:val="32"/>
          <w:szCs w:val="32"/>
        </w:rPr>
        <w:t>公务接待费</w:t>
      </w:r>
      <w:r>
        <w:rPr>
          <w:rFonts w:hint="eastAsia" w:ascii="仿宋_GB2312" w:hAnsi="仿宋_GB2312" w:eastAsia="仿宋_GB2312" w:cs="仿宋_GB2312"/>
          <w:i w:val="0"/>
          <w:iCs w:val="0"/>
          <w:caps w:val="0"/>
          <w:color w:val="000000"/>
          <w:spacing w:val="0"/>
          <w:sz w:val="32"/>
          <w:szCs w:val="32"/>
        </w:rPr>
        <w:t>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val="0"/>
          <w:caps w:val="0"/>
          <w:color w:val="000000"/>
          <w:spacing w:val="0"/>
          <w:sz w:val="32"/>
          <w:szCs w:val="32"/>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万元，主要</w:t>
      </w:r>
      <w:r>
        <w:rPr>
          <w:rFonts w:hint="eastAsia" w:ascii="仿宋_GB2312" w:hAnsi="仿宋_GB2312" w:eastAsia="仿宋_GB2312" w:cs="仿宋_GB2312"/>
          <w:i w:val="0"/>
          <w:iCs w:val="0"/>
          <w:caps w:val="0"/>
          <w:color w:val="000000"/>
          <w:spacing w:val="0"/>
          <w:sz w:val="32"/>
          <w:szCs w:val="32"/>
        </w:rPr>
        <w:t>是车辆油料费、维修费、保险费及年检费用等支出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color w:val="auto"/>
          <w:sz w:val="32"/>
          <w:szCs w:val="32"/>
          <w:lang w:val="en-US" w:eastAsia="zh-CN"/>
        </w:rPr>
        <w:t>本单位为全额拨款事业单位，按照机关运行经费的口径，本年度机关运行经费为0。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培训费年初预算1.00万元，支出决算为1.00万元，完成年初预算的100%。用于开展</w:t>
      </w:r>
      <w:r>
        <w:rPr>
          <w:rFonts w:hint="eastAsia" w:ascii="仿宋_GB2312" w:hAnsi="仿宋_GB2312" w:eastAsia="仿宋_GB2312" w:cs="仿宋_GB2312"/>
          <w:i w:val="0"/>
          <w:iCs w:val="0"/>
          <w:caps w:val="0"/>
          <w:color w:val="000000"/>
          <w:spacing w:val="0"/>
          <w:sz w:val="32"/>
          <w:szCs w:val="32"/>
        </w:rPr>
        <w:t>党建和入党积极分子</w:t>
      </w:r>
      <w:r>
        <w:rPr>
          <w:rFonts w:hint="eastAsia" w:ascii="仿宋_GB2312" w:hAnsi="仿宋_GB2312" w:eastAsia="仿宋_GB2312" w:cs="仿宋_GB2312"/>
          <w:color w:val="000000"/>
          <w:kern w:val="0"/>
          <w:sz w:val="32"/>
          <w:szCs w:val="32"/>
          <w:lang w:val="en-US" w:eastAsia="zh-CN" w:bidi="ar-SA"/>
        </w:rPr>
        <w:t>培训，人数14人次，内容为</w:t>
      </w:r>
      <w:r>
        <w:rPr>
          <w:rFonts w:hint="eastAsia" w:ascii="仿宋_GB2312" w:hAnsi="仿宋_GB2312" w:eastAsia="仿宋_GB2312" w:cs="仿宋_GB2312"/>
          <w:i w:val="0"/>
          <w:iCs w:val="0"/>
          <w:caps w:val="0"/>
          <w:color w:val="000000"/>
          <w:spacing w:val="0"/>
          <w:sz w:val="32"/>
          <w:szCs w:val="32"/>
        </w:rPr>
        <w:t>党员党史学习，入党积极分子相关学习</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b w:val="0"/>
          <w:bCs w:val="0"/>
          <w:i w:val="0"/>
          <w:iCs w:val="0"/>
          <w:color w:val="auto"/>
          <w:kern w:val="0"/>
          <w:sz w:val="32"/>
          <w:szCs w:val="32"/>
          <w:lang w:val="en-US" w:eastAsia="zh-CN" w:bidi="ar-SA"/>
        </w:rPr>
        <w:t>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31.18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18.18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105.34</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val="en-US" w:eastAsia="zh-CN"/>
        </w:rPr>
        <w:t>城区</w:t>
      </w:r>
      <w:r>
        <w:rPr>
          <w:rFonts w:hint="eastAsia" w:ascii="仿宋_GB2312" w:hAnsi="仿宋_GB2312" w:eastAsia="仿宋_GB2312" w:cs="仿宋_GB2312"/>
          <w:i w:val="0"/>
          <w:iCs w:val="0"/>
          <w:caps w:val="0"/>
          <w:color w:val="000000"/>
          <w:spacing w:val="0"/>
          <w:sz w:val="32"/>
          <w:szCs w:val="32"/>
        </w:rPr>
        <w:t>公共自行车租赁系统调度及维修用车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根据预算绩效管理要求，本单位组织对2023年度整体支出和项目资金实施了全覆盖性的绩效评价，撰写了绩效自评报告。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584.06万元，政府性基金预算支出0万元，国有资本经营预算支出0万元。从评价情况来看，整体支出绩效评价中，2023年整体支出631.77万元，其中：基本支出314.33万元，项目支出317.44万元，本单位整体支出绩效自</w:t>
      </w:r>
      <w:r>
        <w:rPr>
          <w:rFonts w:hint="eastAsia" w:ascii="仿宋_GB2312" w:hAnsi="仿宋_GB2312" w:eastAsia="仿宋_GB2312" w:cs="仿宋_GB2312"/>
          <w:b w:val="0"/>
          <w:bCs w:val="0"/>
          <w:color w:val="auto"/>
          <w:kern w:val="0"/>
          <w:sz w:val="32"/>
          <w:szCs w:val="32"/>
          <w:lang w:val="en-US" w:eastAsia="zh-CN" w:bidi="ar-SA"/>
        </w:rPr>
        <w:t>评综合评分96.97分，评价结果等次为优秀。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项目7个</w:t>
      </w:r>
      <w:r>
        <w:rPr>
          <w:rFonts w:hint="eastAsia" w:ascii="仿宋_GB2312" w:hAnsi="仿宋_GB2312" w:eastAsia="仿宋_GB2312" w:cs="仿宋_GB2312"/>
          <w:b w:val="0"/>
          <w:bCs w:val="0"/>
          <w:color w:val="000000"/>
          <w:kern w:val="0"/>
          <w:sz w:val="32"/>
          <w:szCs w:val="32"/>
          <w:lang w:val="en-US" w:eastAsia="zh-CN" w:bidi="ar-SA"/>
        </w:rPr>
        <w:t>，共涉及资金270.33万元，占一般公共预算项目支出总额的100%。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从评价情况来看，</w:t>
      </w:r>
      <w:r>
        <w:rPr>
          <w:rFonts w:hint="eastAsia" w:ascii="仿宋_GB2312" w:hAnsi="仿宋_GB2312" w:eastAsia="仿宋_GB2312" w:cs="仿宋_GB2312"/>
          <w:b w:val="0"/>
          <w:bCs w:val="0"/>
          <w:color w:val="auto"/>
          <w:kern w:val="0"/>
          <w:sz w:val="32"/>
          <w:szCs w:val="32"/>
          <w:lang w:val="en-US" w:eastAsia="zh-CN" w:bidi="ar-SA"/>
        </w:rPr>
        <w:t>项目绩效自评得分均在94分以上，</w:t>
      </w:r>
      <w:r>
        <w:rPr>
          <w:rFonts w:hint="eastAsia" w:ascii="仿宋_GB2312" w:hAnsi="仿宋_GB2312" w:eastAsia="仿宋_GB2312" w:cs="仿宋_GB2312"/>
          <w:b w:val="0"/>
          <w:bCs w:val="0"/>
          <w:color w:val="000000"/>
          <w:kern w:val="0"/>
          <w:sz w:val="32"/>
          <w:szCs w:val="32"/>
          <w:lang w:val="en-US" w:eastAsia="zh-CN" w:bidi="ar-SA"/>
        </w:rPr>
        <w:t>评价结果等次为优秀。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根据年初设定的绩效目标，绩效自评得分为96.97分。全年预算数为704.66万元，执行数为631.77万元，完成预算的89.66%。绩效目标完成情况：一是</w:t>
      </w:r>
      <w:r>
        <w:rPr>
          <w:rFonts w:hint="eastAsia" w:ascii="仿宋_GB2312" w:hAnsi="仿宋_GB2312" w:eastAsia="仿宋_GB2312" w:cs="仿宋_GB2312"/>
          <w:color w:val="000000"/>
          <w:sz w:val="32"/>
          <w:szCs w:val="32"/>
          <w:lang w:val="en-US" w:eastAsia="zh-CN"/>
        </w:rPr>
        <w:t>加大了城区人行道停车管理力度</w:t>
      </w:r>
      <w:bookmarkStart w:id="0" w:name="_GoBack"/>
      <w:bookmarkEnd w:id="0"/>
      <w:r>
        <w:rPr>
          <w:rFonts w:hint="eastAsia" w:ascii="仿宋_GB2312" w:hAnsi="仿宋_GB2312" w:eastAsia="仿宋_GB2312" w:cs="仿宋_GB2312"/>
          <w:color w:val="000000"/>
          <w:sz w:val="32"/>
          <w:szCs w:val="32"/>
          <w:lang w:val="en-US" w:eastAsia="zh-CN"/>
        </w:rPr>
        <w:t>，停车秩序良好，确保了人行道畅通</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000000"/>
          <w:sz w:val="32"/>
          <w:szCs w:val="32"/>
          <w:lang w:val="en-US" w:eastAsia="zh-CN"/>
        </w:rPr>
        <w:t>城区人行道违停车辆信息录入及时完成；三是进行了绿色出行宣传，提出了慢行交通建设建议，并及时进行了行业监管考评；四是多举措挖掘了城区停车潜力，提供更多的停车泊位，方便市民停车；五是由于多方面原因城区停车收费工作暂停，目前尚未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Times New Roman"/>
          <w:color w:val="auto"/>
          <w:kern w:val="0"/>
          <w:sz w:val="32"/>
          <w:szCs w:val="32"/>
          <w:highlight w:val="none"/>
          <w:lang w:val="en-US" w:eastAsia="zh-CN" w:bidi="ar-SA"/>
        </w:rPr>
        <w:t>加强了停车管理工作，对违章停靠等违规行为依法查处，并积极宣传引导，增划停车泊位，对</w:t>
      </w:r>
      <w:r>
        <w:rPr>
          <w:rFonts w:hint="eastAsia" w:ascii="Times New Roman" w:hAnsi="Times New Roman" w:eastAsia="仿宋_GB2312" w:cs="Times New Roman"/>
          <w:color w:val="auto"/>
          <w:kern w:val="0"/>
          <w:sz w:val="32"/>
          <w:szCs w:val="32"/>
          <w:lang w:val="en-US" w:eastAsia="zh-CN" w:bidi="ar-SA"/>
        </w:rPr>
        <w:t>人行道隔离设施进行翻新和维护，方便了市民停车。随着城市车辆总量的增加，城市交通压力日益增大，电动自行车和电动助力自行车的规范化管理，为市民出行提供了多样化的出行方式，缓解了市民“出行难”的问题</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lang w:val="en-US" w:eastAsia="zh-CN" w:bidi="ar-SA"/>
        </w:rPr>
        <w:t>宣传倡导低碳环保、绿色出行的理念，在一定程度上引导了市民的出行方式，对解决城市拥堵，缓解交通压力起到了一定的作用，同时对节能减排，</w:t>
      </w:r>
      <w:r>
        <w:rPr>
          <w:rFonts w:hint="eastAsia" w:ascii="Times New Roman" w:hAnsi="Times New Roman" w:eastAsia="仿宋_GB2312" w:cs="Times New Roman"/>
          <w:color w:val="auto"/>
          <w:kern w:val="0"/>
          <w:sz w:val="32"/>
          <w:szCs w:val="32"/>
          <w:highlight w:val="none"/>
          <w:lang w:val="en-US" w:eastAsia="zh-CN" w:bidi="ar-SA"/>
        </w:rPr>
        <w:t>改善环境污染起到了积极作用。</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bidi="ar-SA"/>
        </w:rPr>
        <w:t>存在的主要问题及原因：一是</w:t>
      </w:r>
      <w:r>
        <w:rPr>
          <w:rFonts w:hint="eastAsia" w:ascii="仿宋_GB2312" w:hAnsi="仿宋_GB2312" w:eastAsia="仿宋_GB2312" w:cs="仿宋_GB2312"/>
          <w:color w:val="auto"/>
          <w:kern w:val="0"/>
          <w:sz w:val="32"/>
          <w:szCs w:val="32"/>
          <w:highlight w:val="none"/>
          <w:lang w:val="en-US" w:eastAsia="zh-CN" w:bidi="ar-SA"/>
        </w:rPr>
        <w:t>预算绩效目标绩效指标制订细化、量化，以及与业务工作融合程度还有待进一步提升，主要原因工作人员对相关政策法规掌</w:t>
      </w:r>
      <w:r>
        <w:rPr>
          <w:rFonts w:hint="eastAsia" w:ascii="Times New Roman" w:hAnsi="Times New Roman" w:eastAsia="仿宋_GB2312" w:cs="Times New Roman"/>
          <w:color w:val="auto"/>
          <w:kern w:val="0"/>
          <w:sz w:val="32"/>
          <w:szCs w:val="32"/>
          <w:highlight w:val="none"/>
          <w:lang w:val="en-US" w:eastAsia="zh-CN" w:bidi="ar-SA"/>
        </w:rPr>
        <w:t>握不够全面，科室间交流沟通还有待进一步加强。</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预算不够精准，主要原因为单位编制预算时对不可预见因素评估不够，造成了一定的预算调整；</w:t>
      </w:r>
      <w:r>
        <w:rPr>
          <w:rFonts w:hint="eastAsia" w:ascii="仿宋_GB2312" w:hAnsi="仿宋_GB2312" w:eastAsia="仿宋_GB2312" w:cs="仿宋_GB2312"/>
          <w:b w:val="0"/>
          <w:bCs w:val="0"/>
          <w:color w:val="000000"/>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预算执行率有待进一步提升，主要原因为预算一体化系统升级，部分费用未及时结算</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仿宋_GB2312" w:eastAsia="仿宋_GB2312" w:cs="仿宋_GB2312"/>
          <w:color w:val="auto"/>
          <w:kern w:val="0"/>
          <w:sz w:val="32"/>
          <w:szCs w:val="32"/>
          <w:highlight w:val="none"/>
          <w:lang w:val="en-US" w:eastAsia="zh-CN" w:bidi="ar-SA"/>
        </w:rPr>
        <w:t>加强预</w:t>
      </w:r>
      <w:r>
        <w:rPr>
          <w:rFonts w:hint="eastAsia" w:ascii="Times New Roman" w:hAnsi="Times New Roman" w:eastAsia="仿宋_GB2312" w:cs="Times New Roman"/>
          <w:color w:val="auto"/>
          <w:kern w:val="0"/>
          <w:sz w:val="32"/>
          <w:szCs w:val="32"/>
          <w:highlight w:val="none"/>
          <w:lang w:val="en-US" w:eastAsia="zh-CN" w:bidi="ar-SA"/>
        </w:rPr>
        <w:t xml:space="preserve">算绩效管理相关业务知识培训，增加预算意识和绩效意识。深入一线调查研究，了解具体业务情况，加强科室间交流沟通，进一步优化细化预算绩效目标的制订，提升预算绩效目标与业务工作的融合。二是 </w:t>
      </w:r>
      <w:r>
        <w:rPr>
          <w:rFonts w:hint="eastAsia" w:ascii="仿宋_GB2312" w:hAnsi="仿宋_GB2312" w:eastAsia="仿宋_GB2312" w:cs="仿宋_GB2312"/>
          <w:color w:val="auto"/>
          <w:kern w:val="0"/>
          <w:sz w:val="32"/>
          <w:szCs w:val="32"/>
          <w:lang w:val="en-US" w:eastAsia="zh-CN" w:bidi="ar-SA"/>
        </w:rPr>
        <w:t>科学合理编制预算，严格执行预算。按照《预算法》及其实施条例的相关规定，参考上一年的预算执行情况和年度的收支预测科学编制预算，避免年中大幅追加以及超预算。</w:t>
      </w:r>
      <w:r>
        <w:rPr>
          <w:rFonts w:hint="eastAsia" w:ascii="Times New Roman" w:hAnsi="Times New Roman" w:eastAsia="仿宋_GB2312" w:cs="Times New Roman"/>
          <w:color w:val="auto"/>
          <w:kern w:val="0"/>
          <w:sz w:val="32"/>
          <w:szCs w:val="32"/>
          <w:highlight w:val="none"/>
          <w:lang w:val="en-US" w:eastAsia="zh-CN" w:bidi="ar-SA"/>
        </w:rPr>
        <w:t>三是</w:t>
      </w:r>
      <w:r>
        <w:rPr>
          <w:rFonts w:hint="eastAsia" w:ascii="仿宋_GB2312" w:hAnsi="仿宋_GB2312" w:eastAsia="仿宋_GB2312" w:cs="仿宋_GB2312"/>
          <w:color w:val="auto"/>
          <w:kern w:val="0"/>
          <w:sz w:val="32"/>
          <w:szCs w:val="32"/>
          <w:lang w:val="en-US" w:eastAsia="zh-CN" w:bidi="ar-SA"/>
        </w:rPr>
        <w:t>加强单位内部科室间沟通，加快项目实施进度，及时结算相关费用，提高预算执行率。</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center"/>
        <w:rPr>
          <w:b/>
          <w:bCs/>
          <w:sz w:val="44"/>
          <w:szCs w:val="44"/>
        </w:rPr>
      </w:pPr>
      <w:r>
        <w:rPr>
          <w:rFonts w:hint="eastAsia" w:ascii="方正小标宋_GBK" w:hAnsi="方正小标宋_GBK" w:eastAsia="方正小标宋_GBK" w:cs="方正小标宋_GBK"/>
          <w:b/>
          <w:bCs/>
          <w:sz w:val="44"/>
          <w:szCs w:val="44"/>
        </w:rPr>
        <w:t>第四部分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color w:val="000000"/>
          <w:kern w:val="0"/>
          <w:sz w:val="44"/>
          <w:szCs w:val="44"/>
        </w:rPr>
        <w:t>名词解释</w:t>
      </w: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8"/>
      </w:pPr>
    </w:p>
    <w:p>
      <w:pPr>
        <w:pStyle w:val="4"/>
      </w:pPr>
    </w:p>
    <w:p/>
    <w:p>
      <w:pPr>
        <w:pStyle w:val="8"/>
      </w:pPr>
    </w:p>
    <w:p>
      <w:pPr>
        <w:pStyle w:val="4"/>
      </w:pPr>
    </w:p>
    <w:p>
      <w:pPr>
        <w:pStyle w:val="14"/>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第</w:t>
      </w:r>
      <w:r>
        <w:rPr>
          <w:rFonts w:hint="eastAsia" w:ascii="方正小标宋_GBK" w:hAnsi="方正小标宋_GBK" w:eastAsia="方正小标宋_GBK" w:cs="方正小标宋_GBK"/>
          <w:b/>
          <w:bCs/>
          <w:sz w:val="44"/>
          <w:szCs w:val="44"/>
          <w:lang w:eastAsia="zh-CN"/>
        </w:rPr>
        <w:t>五</w:t>
      </w:r>
      <w:r>
        <w:rPr>
          <w:rFonts w:hint="eastAsia" w:ascii="方正小标宋_GBK" w:hAnsi="方正小标宋_GBK" w:eastAsia="方正小标宋_GBK" w:cs="方正小标宋_GBK"/>
          <w:b/>
          <w:bCs/>
          <w:sz w:val="44"/>
          <w:szCs w:val="44"/>
        </w:rPr>
        <w:t>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附</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70735"/>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375FA"/>
    <w:rsid w:val="01993D60"/>
    <w:rsid w:val="02083BB7"/>
    <w:rsid w:val="02881E0B"/>
    <w:rsid w:val="03180DA0"/>
    <w:rsid w:val="03213E38"/>
    <w:rsid w:val="03BD08DD"/>
    <w:rsid w:val="059958AD"/>
    <w:rsid w:val="06606BFB"/>
    <w:rsid w:val="071162E5"/>
    <w:rsid w:val="071719AF"/>
    <w:rsid w:val="076310C6"/>
    <w:rsid w:val="07750484"/>
    <w:rsid w:val="08114EFC"/>
    <w:rsid w:val="087370B9"/>
    <w:rsid w:val="089F2A31"/>
    <w:rsid w:val="099A4E06"/>
    <w:rsid w:val="09A47321"/>
    <w:rsid w:val="09EF451D"/>
    <w:rsid w:val="09F9539C"/>
    <w:rsid w:val="0B9D1E65"/>
    <w:rsid w:val="0D8F267C"/>
    <w:rsid w:val="0DD85B76"/>
    <w:rsid w:val="0E243EA9"/>
    <w:rsid w:val="0FA933C0"/>
    <w:rsid w:val="103E7FAD"/>
    <w:rsid w:val="1106711E"/>
    <w:rsid w:val="11140D0D"/>
    <w:rsid w:val="117417AC"/>
    <w:rsid w:val="11A875CF"/>
    <w:rsid w:val="12170AB5"/>
    <w:rsid w:val="1230601B"/>
    <w:rsid w:val="12583BA5"/>
    <w:rsid w:val="129A3494"/>
    <w:rsid w:val="12D80E9A"/>
    <w:rsid w:val="13BA5B9C"/>
    <w:rsid w:val="13F24FC5"/>
    <w:rsid w:val="140329A8"/>
    <w:rsid w:val="15142573"/>
    <w:rsid w:val="153D4CD7"/>
    <w:rsid w:val="15DE49F1"/>
    <w:rsid w:val="16E573D4"/>
    <w:rsid w:val="17587246"/>
    <w:rsid w:val="17B31280"/>
    <w:rsid w:val="18A1674B"/>
    <w:rsid w:val="1A59308F"/>
    <w:rsid w:val="1AC76DF0"/>
    <w:rsid w:val="1B8D3B96"/>
    <w:rsid w:val="1CA70C88"/>
    <w:rsid w:val="1D97DEFF"/>
    <w:rsid w:val="1DDA6E3B"/>
    <w:rsid w:val="1DFF72E5"/>
    <w:rsid w:val="1E2C58E8"/>
    <w:rsid w:val="1EFC6F07"/>
    <w:rsid w:val="1F69491A"/>
    <w:rsid w:val="1F6B68E4"/>
    <w:rsid w:val="20A7394C"/>
    <w:rsid w:val="223C6316"/>
    <w:rsid w:val="22AC03C2"/>
    <w:rsid w:val="22EC422C"/>
    <w:rsid w:val="238E0DF3"/>
    <w:rsid w:val="23E11776"/>
    <w:rsid w:val="23EB3B50"/>
    <w:rsid w:val="24E54A43"/>
    <w:rsid w:val="25F13F84"/>
    <w:rsid w:val="264A05C4"/>
    <w:rsid w:val="26FB06B3"/>
    <w:rsid w:val="27BD866D"/>
    <w:rsid w:val="27C941A8"/>
    <w:rsid w:val="28AFD9F0"/>
    <w:rsid w:val="28CD72DA"/>
    <w:rsid w:val="296F37F7"/>
    <w:rsid w:val="29A94291"/>
    <w:rsid w:val="29CE29B6"/>
    <w:rsid w:val="29DF563C"/>
    <w:rsid w:val="2BDF6980"/>
    <w:rsid w:val="2C7E7849"/>
    <w:rsid w:val="2CDE6947"/>
    <w:rsid w:val="2DBB27E5"/>
    <w:rsid w:val="2DD12008"/>
    <w:rsid w:val="2EDF44FC"/>
    <w:rsid w:val="2F9432ED"/>
    <w:rsid w:val="2FDF85B8"/>
    <w:rsid w:val="2FFFEE04"/>
    <w:rsid w:val="31265466"/>
    <w:rsid w:val="318178A1"/>
    <w:rsid w:val="318D6246"/>
    <w:rsid w:val="31A16195"/>
    <w:rsid w:val="31C95635"/>
    <w:rsid w:val="328301F2"/>
    <w:rsid w:val="334119DE"/>
    <w:rsid w:val="336D632F"/>
    <w:rsid w:val="33D9D1A4"/>
    <w:rsid w:val="33FB393B"/>
    <w:rsid w:val="34533D3B"/>
    <w:rsid w:val="34D523DE"/>
    <w:rsid w:val="34DF85B0"/>
    <w:rsid w:val="36AD2EE7"/>
    <w:rsid w:val="37F30DCD"/>
    <w:rsid w:val="37F52F9B"/>
    <w:rsid w:val="383E029A"/>
    <w:rsid w:val="38D8249D"/>
    <w:rsid w:val="3ABD5DEE"/>
    <w:rsid w:val="3B8F36BC"/>
    <w:rsid w:val="3BB56077"/>
    <w:rsid w:val="3D7309E6"/>
    <w:rsid w:val="3DF8CB71"/>
    <w:rsid w:val="3E18333B"/>
    <w:rsid w:val="3F632D8B"/>
    <w:rsid w:val="3FAF37E3"/>
    <w:rsid w:val="40C854ED"/>
    <w:rsid w:val="419B675D"/>
    <w:rsid w:val="41AF3FB7"/>
    <w:rsid w:val="42B21FB1"/>
    <w:rsid w:val="42DB4936"/>
    <w:rsid w:val="439E0787"/>
    <w:rsid w:val="43F860E9"/>
    <w:rsid w:val="442347E8"/>
    <w:rsid w:val="456F5F37"/>
    <w:rsid w:val="45961C54"/>
    <w:rsid w:val="463B6C74"/>
    <w:rsid w:val="48B56357"/>
    <w:rsid w:val="491FF225"/>
    <w:rsid w:val="4A25750C"/>
    <w:rsid w:val="4A655B5A"/>
    <w:rsid w:val="4B1A06F3"/>
    <w:rsid w:val="4B2837E2"/>
    <w:rsid w:val="4B7852B5"/>
    <w:rsid w:val="4D186EB4"/>
    <w:rsid w:val="4DC62DB4"/>
    <w:rsid w:val="4E7F41F5"/>
    <w:rsid w:val="4EB8094F"/>
    <w:rsid w:val="4EE334F2"/>
    <w:rsid w:val="4FFD19DB"/>
    <w:rsid w:val="4FFD214C"/>
    <w:rsid w:val="50455D91"/>
    <w:rsid w:val="50560C5A"/>
    <w:rsid w:val="506A3ECB"/>
    <w:rsid w:val="51C1728E"/>
    <w:rsid w:val="5352765A"/>
    <w:rsid w:val="53D53D51"/>
    <w:rsid w:val="53EBB333"/>
    <w:rsid w:val="53F74DE7"/>
    <w:rsid w:val="541F4FCC"/>
    <w:rsid w:val="54A92AE8"/>
    <w:rsid w:val="55E20DF4"/>
    <w:rsid w:val="56576C9F"/>
    <w:rsid w:val="56B32263"/>
    <w:rsid w:val="5777D4F5"/>
    <w:rsid w:val="57E156E6"/>
    <w:rsid w:val="57EF2F07"/>
    <w:rsid w:val="585F1E3B"/>
    <w:rsid w:val="59084AC9"/>
    <w:rsid w:val="59DD8326"/>
    <w:rsid w:val="59FF498F"/>
    <w:rsid w:val="5B5419FF"/>
    <w:rsid w:val="5B94DC1D"/>
    <w:rsid w:val="5C645C72"/>
    <w:rsid w:val="5C826CDC"/>
    <w:rsid w:val="5D740137"/>
    <w:rsid w:val="5DB06C95"/>
    <w:rsid w:val="5DEF1EB3"/>
    <w:rsid w:val="5DEF592A"/>
    <w:rsid w:val="5DFBFD28"/>
    <w:rsid w:val="5E79352B"/>
    <w:rsid w:val="5EE237C6"/>
    <w:rsid w:val="5EF13A09"/>
    <w:rsid w:val="5F700DD2"/>
    <w:rsid w:val="5FC6BB1E"/>
    <w:rsid w:val="5FDC40AB"/>
    <w:rsid w:val="5FE50B52"/>
    <w:rsid w:val="5FF720F1"/>
    <w:rsid w:val="5FFBD249"/>
    <w:rsid w:val="611D6D37"/>
    <w:rsid w:val="62756D90"/>
    <w:rsid w:val="62B806A3"/>
    <w:rsid w:val="63D97DAA"/>
    <w:rsid w:val="63EB697E"/>
    <w:rsid w:val="654C68E7"/>
    <w:rsid w:val="65E54C37"/>
    <w:rsid w:val="65E879B6"/>
    <w:rsid w:val="667473F9"/>
    <w:rsid w:val="67EFE17E"/>
    <w:rsid w:val="67F307F2"/>
    <w:rsid w:val="67FF5C0B"/>
    <w:rsid w:val="68405363"/>
    <w:rsid w:val="68FE11FC"/>
    <w:rsid w:val="69C73CE4"/>
    <w:rsid w:val="69D81A4D"/>
    <w:rsid w:val="6AF97ECD"/>
    <w:rsid w:val="6B016D82"/>
    <w:rsid w:val="6B5F0770"/>
    <w:rsid w:val="6B713F07"/>
    <w:rsid w:val="6B785296"/>
    <w:rsid w:val="6BAA4A2F"/>
    <w:rsid w:val="6C537AB1"/>
    <w:rsid w:val="6C557385"/>
    <w:rsid w:val="6DD8201C"/>
    <w:rsid w:val="6E7F0BA3"/>
    <w:rsid w:val="6E9B2404"/>
    <w:rsid w:val="6EFC0924"/>
    <w:rsid w:val="6EFEC4A4"/>
    <w:rsid w:val="6EFF7F27"/>
    <w:rsid w:val="6F6D39E3"/>
    <w:rsid w:val="6F6F4C02"/>
    <w:rsid w:val="6FB74722"/>
    <w:rsid w:val="6FCF90AB"/>
    <w:rsid w:val="6FEF8B7E"/>
    <w:rsid w:val="700E61C9"/>
    <w:rsid w:val="70DD9D8E"/>
    <w:rsid w:val="71A6591B"/>
    <w:rsid w:val="71D796A1"/>
    <w:rsid w:val="72104426"/>
    <w:rsid w:val="72F97DCF"/>
    <w:rsid w:val="731A1328"/>
    <w:rsid w:val="737D44D3"/>
    <w:rsid w:val="737D59BA"/>
    <w:rsid w:val="737F32B1"/>
    <w:rsid w:val="73A86934"/>
    <w:rsid w:val="73BB3825"/>
    <w:rsid w:val="74192C1B"/>
    <w:rsid w:val="7456013E"/>
    <w:rsid w:val="751248E1"/>
    <w:rsid w:val="75DE663D"/>
    <w:rsid w:val="75E13E6D"/>
    <w:rsid w:val="766C34A7"/>
    <w:rsid w:val="76CFFDE0"/>
    <w:rsid w:val="77521091"/>
    <w:rsid w:val="77C37683"/>
    <w:rsid w:val="77CE6102"/>
    <w:rsid w:val="77CFD0D2"/>
    <w:rsid w:val="78526E6F"/>
    <w:rsid w:val="7863107C"/>
    <w:rsid w:val="793F7647"/>
    <w:rsid w:val="79C67B14"/>
    <w:rsid w:val="79FF515B"/>
    <w:rsid w:val="7BF9214F"/>
    <w:rsid w:val="7C372603"/>
    <w:rsid w:val="7C3D3992"/>
    <w:rsid w:val="7CD2057E"/>
    <w:rsid w:val="7D562F5D"/>
    <w:rsid w:val="7DCD4500"/>
    <w:rsid w:val="7E33D13A"/>
    <w:rsid w:val="7E4454AB"/>
    <w:rsid w:val="7E73173F"/>
    <w:rsid w:val="7E977CD1"/>
    <w:rsid w:val="7E9E1962"/>
    <w:rsid w:val="7E9F11B4"/>
    <w:rsid w:val="7EEB1595"/>
    <w:rsid w:val="7F37EC1E"/>
    <w:rsid w:val="7F402117"/>
    <w:rsid w:val="7F46D69A"/>
    <w:rsid w:val="7F5E3724"/>
    <w:rsid w:val="7F6DEADF"/>
    <w:rsid w:val="7F7CB8A0"/>
    <w:rsid w:val="7F7DCD9D"/>
    <w:rsid w:val="7F970A6F"/>
    <w:rsid w:val="7FC1FFF3"/>
    <w:rsid w:val="7FC69637"/>
    <w:rsid w:val="7FD4AF04"/>
    <w:rsid w:val="7FDF8620"/>
    <w:rsid w:val="7FF51C5C"/>
    <w:rsid w:val="7FF75E9F"/>
    <w:rsid w:val="7FFB242F"/>
    <w:rsid w:val="7FFDB408"/>
    <w:rsid w:val="7FFE4EEB"/>
    <w:rsid w:val="7FFF646C"/>
    <w:rsid w:val="7FFF8157"/>
    <w:rsid w:val="95FB2B98"/>
    <w:rsid w:val="9A639BC2"/>
    <w:rsid w:val="9FF7D786"/>
    <w:rsid w:val="AA7751EC"/>
    <w:rsid w:val="ABBFB23D"/>
    <w:rsid w:val="ABF84629"/>
    <w:rsid w:val="AFEF8B34"/>
    <w:rsid w:val="BD5C978B"/>
    <w:rsid w:val="BDDB1ED3"/>
    <w:rsid w:val="BFC8C5ED"/>
    <w:rsid w:val="C3B4DA5A"/>
    <w:rsid w:val="CBFF70E0"/>
    <w:rsid w:val="CFF50B82"/>
    <w:rsid w:val="CFF67192"/>
    <w:rsid w:val="CFFFAD89"/>
    <w:rsid w:val="D67A12B4"/>
    <w:rsid w:val="DCBF1217"/>
    <w:rsid w:val="DED7FD84"/>
    <w:rsid w:val="DF5FB675"/>
    <w:rsid w:val="DFCFBCE5"/>
    <w:rsid w:val="DFFE359E"/>
    <w:rsid w:val="DFFE4FFD"/>
    <w:rsid w:val="E5FEB215"/>
    <w:rsid w:val="E9FB6305"/>
    <w:rsid w:val="EBF93FF2"/>
    <w:rsid w:val="EEABED75"/>
    <w:rsid w:val="EF7B21B4"/>
    <w:rsid w:val="EFD96089"/>
    <w:rsid w:val="EFD98110"/>
    <w:rsid w:val="EFEFE9E0"/>
    <w:rsid w:val="EFFBF2CA"/>
    <w:rsid w:val="F1FB780B"/>
    <w:rsid w:val="F56FDF51"/>
    <w:rsid w:val="F6B69F17"/>
    <w:rsid w:val="F73DA646"/>
    <w:rsid w:val="F77BA88B"/>
    <w:rsid w:val="F77F1D61"/>
    <w:rsid w:val="F7FED3A9"/>
    <w:rsid w:val="F8C9DB26"/>
    <w:rsid w:val="F97E8EAE"/>
    <w:rsid w:val="F99F5652"/>
    <w:rsid w:val="FB36E1A6"/>
    <w:rsid w:val="FB3BE134"/>
    <w:rsid w:val="FBBCA74D"/>
    <w:rsid w:val="FCFF4275"/>
    <w:rsid w:val="FD7FEEEA"/>
    <w:rsid w:val="FDFFB577"/>
    <w:rsid w:val="FE3BA912"/>
    <w:rsid w:val="FE571EFD"/>
    <w:rsid w:val="FEEA50FE"/>
    <w:rsid w:val="FF7D47A9"/>
    <w:rsid w:val="FF7EDE7F"/>
    <w:rsid w:val="FFCF21CB"/>
    <w:rsid w:val="FFE3F113"/>
    <w:rsid w:val="FFFD8CE2"/>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default"/>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6104</Words>
  <Characters>6652</Characters>
  <Lines>63</Lines>
  <Paragraphs>18</Paragraphs>
  <TotalTime>19</TotalTime>
  <ScaleCrop>false</ScaleCrop>
  <LinksUpToDate>false</LinksUpToDate>
  <CharactersWithSpaces>6675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2020-07-10T02:32:00Z</dcterms:created>
  <dc:creator>李航 null</dc:creator>
  <cp:lastModifiedBy>TCB003</cp:lastModifiedBy>
  <cp:lastPrinted>2024-08-10T10:20:00Z</cp:lastPrinted>
  <dcterms:modified xsi:type="dcterms:W3CDTF">2025-08-25T15:08:33Z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