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7C1D4">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color w:val="auto"/>
          <w:sz w:val="52"/>
          <w:szCs w:val="52"/>
          <w:highlight w:val="none"/>
        </w:rPr>
      </w:pPr>
    </w:p>
    <w:p w14:paraId="3D8D2F96">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p>
    <w:p w14:paraId="16C55E3E">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年度</w:t>
      </w:r>
      <w:r>
        <w:rPr>
          <w:rFonts w:hint="eastAsia" w:ascii="方正小标宋简体" w:hAnsi="方正小标宋简体" w:eastAsia="方正小标宋简体" w:cs="方正小标宋简体"/>
          <w:color w:val="auto"/>
          <w:sz w:val="44"/>
          <w:szCs w:val="44"/>
          <w:highlight w:val="none"/>
          <w:lang w:val="en-US" w:eastAsia="zh-CN"/>
        </w:rPr>
        <w:t>岳阳市固体废物处置服务中心</w:t>
      </w:r>
    </w:p>
    <w:p w14:paraId="7448A421">
      <w:pPr>
        <w:keepNext w:val="0"/>
        <w:keepLines w:val="0"/>
        <w:pageBreakBefore w:val="0"/>
        <w:kinsoku/>
        <w:wordWrap/>
        <w:overflowPunct/>
        <w:topLinePunct w:val="0"/>
        <w:autoSpaceDE/>
        <w:autoSpaceDN/>
        <w:bidi w:val="0"/>
        <w:adjustRightInd/>
        <w:snapToGrid/>
        <w:spacing w:line="600" w:lineRule="exact"/>
        <w:ind w:left="0" w:leftChars="0" w:firstLine="1760" w:firstLineChars="40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整体支出绩效自评报告</w:t>
      </w:r>
    </w:p>
    <w:p w14:paraId="10BD3F79">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小标宋_GBK" w:cs="Times New Roman"/>
          <w:b/>
          <w:color w:val="auto"/>
          <w:sz w:val="52"/>
          <w:szCs w:val="52"/>
          <w:highlight w:val="none"/>
        </w:rPr>
      </w:pPr>
    </w:p>
    <w:p w14:paraId="1EC9C0B7">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14:paraId="00D31BC3">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14:paraId="48A22DEE">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14:paraId="05C1BE29">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14:paraId="3AE871D8">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14:paraId="4C0905D7">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楷体_GB2312" w:cs="Times New Roman"/>
          <w:b/>
          <w:color w:val="auto"/>
          <w:sz w:val="32"/>
          <w:szCs w:val="32"/>
          <w:highlight w:val="none"/>
        </w:rPr>
      </w:pPr>
    </w:p>
    <w:p w14:paraId="7B8C53A8">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14:paraId="5AA7C345">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14:paraId="4A9FC595">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14:paraId="1784AB32">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14:paraId="450CAB35">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14:paraId="727691FE">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14:paraId="321C1AAE">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auto"/>
          <w:sz w:val="32"/>
          <w:szCs w:val="32"/>
          <w:highlight w:val="none"/>
        </w:rPr>
      </w:pPr>
    </w:p>
    <w:p w14:paraId="71792341">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部门（单位）名称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u w:val="single"/>
          <w:lang w:val="en-US" w:eastAsia="zh-CN"/>
        </w:rPr>
        <w:t xml:space="preserve"> 岳阳市固体废物处置服务中心(</w:t>
      </w:r>
      <w:r>
        <w:rPr>
          <w:rFonts w:hint="default" w:ascii="Times New Roman" w:hAnsi="Times New Roman" w:eastAsia="仿宋_GB2312" w:cs="Times New Roman"/>
          <w:color w:val="auto"/>
          <w:sz w:val="32"/>
          <w:szCs w:val="32"/>
          <w:highlight w:val="none"/>
          <w:u w:val="single"/>
        </w:rPr>
        <w:t>盖章）</w:t>
      </w:r>
    </w:p>
    <w:p w14:paraId="3A0C0659">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val="en-US" w:eastAsia="zh-CN"/>
        </w:rPr>
        <w:t>2024</w:t>
      </w:r>
      <w:r>
        <w:rPr>
          <w:rFonts w:hint="default" w:ascii="Times New Roman" w:hAnsi="Times New Roman" w:eastAsia="楷体_GB2312" w:cs="Times New Roman"/>
          <w:color w:val="auto"/>
          <w:sz w:val="32"/>
          <w:szCs w:val="32"/>
          <w:highlight w:val="none"/>
        </w:rPr>
        <w:t xml:space="preserve">年 </w:t>
      </w:r>
      <w:r>
        <w:rPr>
          <w:rFonts w:hint="eastAsia" w:ascii="Times New Roman" w:hAnsi="Times New Roman" w:eastAsia="楷体_GB2312" w:cs="Times New Roman"/>
          <w:color w:val="auto"/>
          <w:sz w:val="32"/>
          <w:szCs w:val="32"/>
          <w:highlight w:val="none"/>
          <w:lang w:val="en-US" w:eastAsia="zh-CN"/>
        </w:rPr>
        <w:t>6</w:t>
      </w:r>
      <w:r>
        <w:rPr>
          <w:rFonts w:hint="default" w:ascii="Times New Roman" w:hAnsi="Times New Roman" w:eastAsia="楷体_GB2312" w:cs="Times New Roman"/>
          <w:color w:val="auto"/>
          <w:sz w:val="32"/>
          <w:szCs w:val="32"/>
          <w:highlight w:val="none"/>
        </w:rPr>
        <w:t xml:space="preserve"> 月</w:t>
      </w:r>
      <w:r>
        <w:rPr>
          <w:rFonts w:hint="eastAsia" w:ascii="Times New Roman" w:hAnsi="Times New Roman" w:eastAsia="楷体_GB2312" w:cs="Times New Roman"/>
          <w:color w:val="auto"/>
          <w:sz w:val="32"/>
          <w:szCs w:val="32"/>
          <w:highlight w:val="none"/>
          <w:lang w:val="en-US" w:eastAsia="zh-CN"/>
        </w:rPr>
        <w:t>20</w:t>
      </w:r>
      <w:r>
        <w:rPr>
          <w:rFonts w:hint="default" w:ascii="Times New Roman" w:hAnsi="Times New Roman" w:eastAsia="楷体_GB2312" w:cs="Times New Roman"/>
          <w:color w:val="auto"/>
          <w:sz w:val="32"/>
          <w:szCs w:val="32"/>
          <w:highlight w:val="none"/>
        </w:rPr>
        <w:t>日</w:t>
      </w:r>
    </w:p>
    <w:p w14:paraId="2A8832B3">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sectPr>
          <w:pgSz w:w="11906" w:h="16838"/>
          <w:pgMar w:top="1440" w:right="1800" w:bottom="1440" w:left="1800" w:header="851" w:footer="992" w:gutter="0"/>
          <w:pgNumType w:fmt="numberInDash"/>
          <w:cols w:space="425" w:num="1"/>
          <w:docGrid w:type="lines" w:linePitch="312" w:charSpace="0"/>
        </w:sectPr>
      </w:pPr>
    </w:p>
    <w:p w14:paraId="3A520856">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年度</w:t>
      </w:r>
      <w:r>
        <w:rPr>
          <w:rFonts w:hint="eastAsia" w:ascii="方正小标宋简体" w:hAnsi="方正小标宋简体" w:eastAsia="方正小标宋简体" w:cs="方正小标宋简体"/>
          <w:color w:val="auto"/>
          <w:sz w:val="44"/>
          <w:szCs w:val="44"/>
          <w:highlight w:val="none"/>
          <w:lang w:val="en-US" w:eastAsia="zh-CN"/>
        </w:rPr>
        <w:t xml:space="preserve">岳阳市固体废物处置服务中心  </w:t>
      </w:r>
      <w:r>
        <w:rPr>
          <w:rFonts w:hint="eastAsia" w:ascii="方正小标宋简体" w:hAnsi="方正小标宋简体" w:eastAsia="方正小标宋简体" w:cs="方正小标宋简体"/>
          <w:color w:val="auto"/>
          <w:sz w:val="44"/>
          <w:szCs w:val="44"/>
          <w:highlight w:val="none"/>
        </w:rPr>
        <w:t>整体支出绩效自评报告</w:t>
      </w:r>
    </w:p>
    <w:p w14:paraId="378FDCC5">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14:paraId="3822F7AA">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部门（单位）基本情况</w:t>
      </w:r>
    </w:p>
    <w:p w14:paraId="5C034BA4">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321" w:firstLineChars="100"/>
        <w:jc w:val="both"/>
        <w:textAlignment w:val="auto"/>
        <w:rPr>
          <w:rFonts w:hint="eastAsia" w:ascii="Times New Roman" w:hAnsi="Times New Roman" w:eastAsia="楷体_GB2312" w:cs="Times New Roman"/>
          <w:b/>
          <w:color w:val="auto"/>
          <w:kern w:val="0"/>
          <w:sz w:val="32"/>
          <w:szCs w:val="32"/>
          <w:highlight w:val="none"/>
          <w:lang w:val="en-US" w:eastAsia="zh-CN" w:bidi="ar-SA"/>
        </w:rPr>
      </w:pPr>
      <w:r>
        <w:rPr>
          <w:rFonts w:hint="eastAsia" w:ascii="Times New Roman" w:hAnsi="Times New Roman" w:eastAsia="楷体_GB2312" w:cs="Times New Roman"/>
          <w:b/>
          <w:color w:val="auto"/>
          <w:kern w:val="0"/>
          <w:sz w:val="32"/>
          <w:szCs w:val="32"/>
          <w:highlight w:val="none"/>
          <w:lang w:val="en-US" w:eastAsia="zh-CN" w:bidi="ar-SA"/>
        </w:rPr>
        <w:t>职能职责。</w:t>
      </w:r>
    </w:p>
    <w:p w14:paraId="70464DB4">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1、负责</w:t>
      </w:r>
      <w:r>
        <w:rPr>
          <w:rFonts w:hint="eastAsia" w:ascii="仿宋" w:hAnsi="仿宋" w:eastAsia="仿宋" w:cs="仿宋"/>
          <w:color w:val="auto"/>
          <w:sz w:val="32"/>
          <w:szCs w:val="32"/>
          <w:highlight w:val="none"/>
          <w:lang w:eastAsia="zh-CN"/>
        </w:rPr>
        <w:t>岳阳市静脉产业园区（以下简称园区）的发展规划、控详规划和规划环评的编制和实施的行政辅助工作；</w:t>
      </w:r>
    </w:p>
    <w:p w14:paraId="3E4DD7D8">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val="en-US" w:eastAsia="zh-CN"/>
        </w:rPr>
        <w:t>2</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园区内企业日常运营监管的事务性工作，协助园区内企业做好各类扶持政策的申报工作；</w:t>
      </w:r>
    </w:p>
    <w:p w14:paraId="7185A4E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val="en-US" w:eastAsia="zh-CN"/>
        </w:rPr>
        <w:t>3</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园区内政府投资的基础设施建设和维护工作；</w:t>
      </w:r>
    </w:p>
    <w:p w14:paraId="0AD5B5BF">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val="en-US" w:eastAsia="zh-CN"/>
        </w:rPr>
        <w:t>4</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市中心城区餐厨垃圾收集、运输处置统筹协调、监督、考核等事务性工作；</w:t>
      </w:r>
    </w:p>
    <w:p w14:paraId="56EAF1DF">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楷体_GB2312" w:cs="Times New Roman"/>
          <w:b/>
          <w:color w:val="auto"/>
          <w:kern w:val="0"/>
          <w:sz w:val="32"/>
          <w:szCs w:val="32"/>
          <w:highlight w:val="none"/>
          <w:lang w:val="en-US" w:eastAsia="zh-CN" w:bidi="ar-SA"/>
        </w:rPr>
      </w:pPr>
      <w:r>
        <w:rPr>
          <w:rFonts w:hint="default" w:ascii="仿宋" w:hAnsi="仿宋" w:eastAsia="仿宋" w:cs="仿宋"/>
          <w:color w:val="auto"/>
          <w:sz w:val="32"/>
          <w:szCs w:val="32"/>
          <w:highlight w:val="none"/>
          <w:lang w:val="en-US" w:eastAsia="zh-CN"/>
        </w:rPr>
        <w:t>5</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 w:hAnsi="仿宋" w:eastAsia="仿宋" w:cs="仿宋"/>
          <w:color w:val="auto"/>
          <w:sz w:val="32"/>
          <w:szCs w:val="32"/>
          <w:highlight w:val="none"/>
          <w:lang w:eastAsia="zh-CN"/>
        </w:rPr>
        <w:t>负</w:t>
      </w:r>
      <w:r>
        <w:rPr>
          <w:rFonts w:hint="eastAsia" w:ascii="仿宋" w:hAnsi="仿宋" w:eastAsia="仿宋" w:cs="仿宋"/>
          <w:color w:val="auto"/>
          <w:sz w:val="32"/>
          <w:szCs w:val="32"/>
          <w:highlight w:val="none"/>
          <w:lang w:val="en-US" w:eastAsia="zh-CN"/>
        </w:rPr>
        <w:t>责</w:t>
      </w:r>
      <w:r>
        <w:rPr>
          <w:rFonts w:hint="eastAsia" w:ascii="仿宋" w:hAnsi="仿宋" w:eastAsia="仿宋" w:cs="仿宋"/>
          <w:color w:val="auto"/>
          <w:sz w:val="32"/>
          <w:szCs w:val="32"/>
          <w:highlight w:val="none"/>
          <w:lang w:eastAsia="zh-CN"/>
        </w:rPr>
        <w:t>罗家坳生活垃圾填埋场的日常管理；完成市城市管理和综合执法局交办的其他事项。</w:t>
      </w:r>
    </w:p>
    <w:p w14:paraId="1B6A781E">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Times New Roman" w:hAnsi="Times New Roman" w:eastAsia="楷体_GB2312" w:cs="Times New Roman"/>
          <w:b/>
          <w:color w:val="auto"/>
          <w:kern w:val="0"/>
          <w:sz w:val="32"/>
          <w:szCs w:val="32"/>
          <w:highlight w:val="none"/>
          <w:lang w:val="en-US" w:eastAsia="zh-CN" w:bidi="ar-SA"/>
        </w:rPr>
      </w:pPr>
      <w:r>
        <w:rPr>
          <w:rFonts w:hint="eastAsia" w:ascii="Times New Roman" w:hAnsi="Times New Roman" w:eastAsia="楷体_GB2312" w:cs="Times New Roman"/>
          <w:b/>
          <w:color w:val="auto"/>
          <w:kern w:val="0"/>
          <w:sz w:val="32"/>
          <w:szCs w:val="32"/>
          <w:highlight w:val="none"/>
          <w:lang w:val="en-US" w:eastAsia="zh-CN" w:bidi="ar-SA"/>
        </w:rPr>
        <w:t>（二）机构设置。</w:t>
      </w:r>
    </w:p>
    <w:p w14:paraId="115A9DE9">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b/>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我单位为市城市管理和综合执法局直属公益一类事业单位，机构规格为正科级，编制人数21人，实有人数19人。中心设有3个内设机构：综合部、园区服务部、固体废物服务</w:t>
      </w:r>
      <w:r>
        <w:rPr>
          <w:rFonts w:hint="eastAsia" w:eastAsia="仿宋" w:cs="仿宋"/>
          <w:color w:val="auto"/>
          <w:kern w:val="0"/>
          <w:sz w:val="32"/>
          <w:szCs w:val="32"/>
          <w:highlight w:val="none"/>
          <w:lang w:val="en-US" w:eastAsia="zh-CN"/>
        </w:rPr>
        <w:t>部。</w:t>
      </w:r>
    </w:p>
    <w:p w14:paraId="33CEEA1C">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二、一般公共预算支出情况</w:t>
      </w:r>
    </w:p>
    <w:p w14:paraId="65DEE5F4">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（一）基本支出情况</w:t>
      </w:r>
      <w:r>
        <w:rPr>
          <w:rFonts w:hint="eastAsia" w:ascii="Times New Roman" w:hAnsi="Times New Roman" w:eastAsia="楷体_GB2312" w:cs="Times New Roman"/>
          <w:b/>
          <w:color w:val="auto"/>
          <w:sz w:val="32"/>
          <w:szCs w:val="32"/>
          <w:lang w:eastAsia="zh-CN"/>
        </w:rPr>
        <w:t>。</w:t>
      </w:r>
    </w:p>
    <w:p w14:paraId="2987161C">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lang w:val="en-US" w:eastAsia="zh-CN"/>
        </w:rPr>
        <w:t>2023年度基本支出200.55万元，其中人员支出157.73万元，</w:t>
      </w:r>
      <w:r>
        <w:rPr>
          <w:rFonts w:hint="eastAsia" w:ascii="仿宋" w:hAnsi="仿宋" w:eastAsia="仿宋" w:cs="仿宋"/>
          <w:color w:val="auto"/>
          <w:kern w:val="0"/>
          <w:sz w:val="32"/>
          <w:szCs w:val="32"/>
          <w:highlight w:val="none"/>
          <w:lang w:val="en-US" w:eastAsia="zh-CN"/>
        </w:rPr>
        <w:t>主要用于在职人员基本工资、津贴补贴等人员经费支出；公用经费支出28万元，主要用于办公费、印刷费、水电费、差旅费等保障单位机构正常运转、完成日常工作任务而发生的各项支出。</w:t>
      </w:r>
    </w:p>
    <w:p w14:paraId="2C482227">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lang w:val="en-US" w:eastAsia="zh-CN"/>
        </w:rPr>
        <w:t>本年度公务接待费支出0万元，因公出国(境)费支出0元,</w:t>
      </w:r>
      <w:r>
        <w:rPr>
          <w:rFonts w:hint="eastAsia" w:ascii="仿宋" w:hAnsi="仿宋" w:eastAsia="仿宋" w:cs="仿宋"/>
          <w:color w:val="auto"/>
          <w:kern w:val="0"/>
          <w:sz w:val="32"/>
          <w:szCs w:val="32"/>
          <w:highlight w:val="none"/>
          <w:lang w:val="en-US" w:eastAsia="zh-CN"/>
        </w:rPr>
        <w:t>公务车运</w:t>
      </w:r>
      <w:r>
        <w:rPr>
          <w:rFonts w:hint="eastAsia" w:ascii="仿宋" w:hAnsi="仿宋" w:eastAsia="仿宋" w:cs="仿宋"/>
          <w:color w:val="auto"/>
          <w:kern w:val="0"/>
          <w:sz w:val="32"/>
          <w:szCs w:val="32"/>
          <w:lang w:val="en-US" w:eastAsia="zh-CN"/>
        </w:rPr>
        <w:t>行维护费支出0万元，“三公经费”支出总额为0万元</w:t>
      </w:r>
      <w:r>
        <w:rPr>
          <w:rFonts w:hint="eastAsia" w:ascii="仿宋" w:hAnsi="仿宋" w:eastAsia="仿宋" w:cs="仿宋"/>
          <w:color w:val="auto"/>
          <w:kern w:val="0"/>
          <w:sz w:val="32"/>
          <w:szCs w:val="32"/>
          <w:highlight w:val="none"/>
          <w:lang w:val="en-US" w:eastAsia="zh-CN"/>
        </w:rPr>
        <w:t>，“三公经费”年初预算总金额为0万元，控制在预算金额之内。</w:t>
      </w:r>
    </w:p>
    <w:p w14:paraId="287D5F83">
      <w:pPr>
        <w:pStyle w:val="10"/>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项目支出情况</w:t>
      </w:r>
      <w:r>
        <w:rPr>
          <w:rFonts w:hint="eastAsia" w:ascii="Times New Roman" w:hAnsi="Times New Roman" w:eastAsia="楷体_GB2312" w:cs="Times New Roman"/>
          <w:b/>
          <w:color w:val="auto"/>
          <w:sz w:val="32"/>
          <w:szCs w:val="32"/>
          <w:lang w:eastAsia="zh-CN"/>
        </w:rPr>
        <w:t>。</w:t>
      </w:r>
    </w:p>
    <w:p w14:paraId="0CA85117">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方正仿宋_GB2312" w:hAnsi="方正仿宋_GB2312" w:eastAsia="方正仿宋_GB2312" w:cs="方正仿宋_GB2312"/>
          <w:b/>
          <w:bCs/>
          <w:color w:val="auto"/>
          <w:kern w:val="0"/>
          <w:sz w:val="32"/>
          <w:szCs w:val="32"/>
          <w:lang w:val="en-US" w:eastAsia="zh-CN" w:bidi="ar"/>
        </w:rPr>
      </w:pPr>
      <w:r>
        <w:rPr>
          <w:rFonts w:hint="eastAsia" w:ascii="方正仿宋_GB2312" w:hAnsi="方正仿宋_GB2312" w:eastAsia="方正仿宋_GB2312" w:cs="方正仿宋_GB2312"/>
          <w:b/>
          <w:bCs/>
          <w:color w:val="auto"/>
          <w:kern w:val="0"/>
          <w:sz w:val="32"/>
          <w:szCs w:val="32"/>
          <w:lang w:val="en-US" w:eastAsia="zh-CN" w:bidi="ar"/>
        </w:rPr>
        <w:t>1.项目资金收支情况分析</w:t>
      </w:r>
    </w:p>
    <w:p w14:paraId="46CC5345">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方正仿宋_GB2312" w:hAnsi="方正仿宋_GB2312" w:eastAsia="方正仿宋_GB2312" w:cs="方正仿宋_GB2312"/>
          <w:b/>
          <w:color w:val="auto"/>
          <w:sz w:val="32"/>
          <w:szCs w:val="32"/>
          <w:lang w:val="en-US"/>
        </w:rPr>
      </w:pPr>
      <w:r>
        <w:rPr>
          <w:rFonts w:hint="eastAsia" w:ascii="方正仿宋_GB2312" w:hAnsi="方正仿宋_GB2312" w:eastAsia="方正仿宋_GB2312" w:cs="方正仿宋_GB2312"/>
          <w:color w:val="auto"/>
          <w:kern w:val="0"/>
          <w:sz w:val="32"/>
          <w:szCs w:val="32"/>
          <w:lang w:val="en-US" w:eastAsia="zh-CN" w:bidi="ar"/>
        </w:rPr>
        <w:t>2023年年初市财政共安排专项资金274万元。</w:t>
      </w:r>
      <w:r>
        <w:rPr>
          <w:rFonts w:hint="eastAsia" w:ascii="方正仿宋_GB2312" w:hAnsi="方正仿宋_GB2312" w:eastAsia="方正仿宋_GB2312" w:cs="方正仿宋_GB2312"/>
          <w:color w:val="auto"/>
          <w:kern w:val="0"/>
          <w:sz w:val="32"/>
          <w:szCs w:val="32"/>
          <w:lang w:val="en-US" w:eastAsia="zh-CN" w:bidi="ar"/>
        </w:rPr>
        <w:t>其中：</w:t>
      </w:r>
      <w:r>
        <w:rPr>
          <w:rFonts w:hint="eastAsia" w:ascii="方正仿宋_GB2312" w:hAnsi="方正仿宋_GB2312" w:eastAsia="方正仿宋_GB2312" w:cs="方正仿宋_GB2312"/>
          <w:color w:val="auto"/>
          <w:kern w:val="0"/>
          <w:sz w:val="32"/>
          <w:szCs w:val="32"/>
          <w:lang w:val="en-US" w:eastAsia="zh-CN"/>
        </w:rPr>
        <w:t>罗家坳无害化处理场渗滤液处理系统运营服务费186万元；</w:t>
      </w:r>
      <w:r>
        <w:rPr>
          <w:rFonts w:hint="eastAsia" w:ascii="方正仿宋_GB2312" w:hAnsi="方正仿宋_GB2312" w:eastAsia="方正仿宋_GB2312" w:cs="方正仿宋_GB2312"/>
          <w:color w:val="auto"/>
          <w:kern w:val="0"/>
          <w:sz w:val="32"/>
          <w:szCs w:val="32"/>
          <w:lang w:val="en-US" w:eastAsia="zh-CN"/>
        </w:rPr>
        <w:t>静脉产业园区运维管理工作经费28万元；罗家坳飞灰填埋场运维管理工作经费60万元。</w:t>
      </w:r>
    </w:p>
    <w:p w14:paraId="18D15CA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_GB2312" w:hAnsi="方正仿宋_GB2312" w:eastAsia="方正仿宋_GB2312" w:cs="方正仿宋_GB2312"/>
          <w:b/>
          <w:bCs/>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bidi="ar-SA"/>
        </w:rPr>
        <w:t>2.</w:t>
      </w:r>
      <w:r>
        <w:rPr>
          <w:rFonts w:hint="eastAsia" w:ascii="方正仿宋_GB2312" w:hAnsi="方正仿宋_GB2312" w:eastAsia="方正仿宋_GB2312" w:cs="方正仿宋_GB2312"/>
          <w:b/>
          <w:bCs/>
          <w:color w:val="auto"/>
          <w:kern w:val="0"/>
          <w:sz w:val="32"/>
          <w:szCs w:val="32"/>
          <w:lang w:val="en-US" w:eastAsia="zh-CN"/>
        </w:rPr>
        <w:t>专项资金安排落实、总投入和实际使用等情况分析</w:t>
      </w:r>
    </w:p>
    <w:p w14:paraId="1D0A893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2023年度项目支出249.32万元，其中本年度罗家坳无害化处理场渗滤液处理系统运营服务费支付162.37万元，静脉产业园区运维管理工作经费支付26.95万元，罗家坳飞灰填埋场运维管理工作经费支出60.00万元。各项目支出严格控制支出规模，未出现超预算开支的情况。</w:t>
      </w:r>
    </w:p>
    <w:p w14:paraId="5F0D409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_GB2312" w:hAnsi="方正仿宋_GB2312" w:eastAsia="方正仿宋_GB2312" w:cs="方正仿宋_GB2312"/>
          <w:b/>
          <w:bCs/>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rPr>
        <w:t>3.专项资金管理情况分析</w:t>
      </w:r>
    </w:p>
    <w:p w14:paraId="5C1BC42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color w:val="auto"/>
          <w:kern w:val="0"/>
          <w:sz w:val="32"/>
          <w:szCs w:val="32"/>
          <w:lang w:val="en-US" w:eastAsia="zh-CN"/>
        </w:rPr>
        <w:t>我单位结合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专项</w:t>
      </w:r>
      <w:r>
        <w:rPr>
          <w:rFonts w:hint="eastAsia" w:ascii="方正仿宋_GB2312" w:hAnsi="方正仿宋_GB2312" w:eastAsia="方正仿宋_GB2312" w:cs="方正仿宋_GB2312"/>
          <w:color w:val="auto"/>
          <w:kern w:val="0"/>
          <w:sz w:val="32"/>
          <w:szCs w:val="32"/>
          <w:lang w:val="en-US" w:eastAsia="zh-CN" w:bidi="ar"/>
        </w:rPr>
        <w:t>资金实行综合预算，量入为出，专款专用，确保工作顺利开展。制定专项资金管理办法，规范专项资金使用，严格政府采购程序，做到按章办事，规范操作。</w:t>
      </w:r>
    </w:p>
    <w:p w14:paraId="48D76808">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三、政府性基金预算支出情况</w:t>
      </w:r>
    </w:p>
    <w:p w14:paraId="51FA680A">
      <w:pPr>
        <w:pStyle w:val="2"/>
        <w:keepNext w:val="0"/>
        <w:keepLines w:val="0"/>
        <w:pageBreakBefore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我单位本年度无政府性基金预算支出。</w:t>
      </w:r>
    </w:p>
    <w:p w14:paraId="6ABF5DFC">
      <w:pPr>
        <w:pStyle w:val="2"/>
        <w:keepNext w:val="0"/>
        <w:keepLines w:val="0"/>
        <w:pageBreakBefore w:val="0"/>
        <w:numPr>
          <w:ilvl w:val="0"/>
          <w:numId w:val="4"/>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国有资本经营预算支出情况</w:t>
      </w:r>
    </w:p>
    <w:p w14:paraId="0B316688">
      <w:pPr>
        <w:pStyle w:val="2"/>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我单位本年度无国有资本经营预算支出。</w:t>
      </w:r>
    </w:p>
    <w:p w14:paraId="1BD6A904">
      <w:pPr>
        <w:pStyle w:val="2"/>
        <w:keepNext w:val="0"/>
        <w:keepLines w:val="0"/>
        <w:pageBreakBefore w:val="0"/>
        <w:numPr>
          <w:ilvl w:val="0"/>
          <w:numId w:val="4"/>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社会保险基金预算支出情况</w:t>
      </w:r>
    </w:p>
    <w:p w14:paraId="28FB0A80">
      <w:pPr>
        <w:pStyle w:val="2"/>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我单位本年度无社会保险基金预算支出。</w:t>
      </w:r>
    </w:p>
    <w:p w14:paraId="1283284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六、部门整体支出绩效情况</w:t>
      </w:r>
    </w:p>
    <w:p w14:paraId="79E6C6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楷体_GB2312" w:hAnsi="方正楷体_GB2312" w:eastAsia="方正楷体_GB2312" w:cs="方正楷体_GB2312"/>
          <w:b/>
          <w:bCs/>
          <w:color w:val="auto"/>
          <w:kern w:val="0"/>
          <w:sz w:val="32"/>
          <w:szCs w:val="32"/>
          <w:highlight w:val="none"/>
          <w:lang w:val="en-US" w:eastAsia="zh-CN" w:bidi="ar-SA"/>
        </w:rPr>
      </w:pPr>
      <w:r>
        <w:rPr>
          <w:rFonts w:hint="eastAsia" w:ascii="方正楷体_GB2312" w:hAnsi="方正楷体_GB2312" w:eastAsia="方正楷体_GB2312" w:cs="方正楷体_GB2312"/>
          <w:b/>
          <w:bCs/>
          <w:color w:val="auto"/>
          <w:kern w:val="0"/>
          <w:sz w:val="32"/>
          <w:szCs w:val="32"/>
          <w:highlight w:val="none"/>
          <w:lang w:val="en-US" w:eastAsia="zh-CN" w:bidi="ar-SA"/>
        </w:rPr>
        <w:t>（一）单位预算管理情况。</w:t>
      </w:r>
    </w:p>
    <w:p w14:paraId="0C5131FA">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资金使用合规，资金支付按照《预算法》《政府会计制度》和我单位《财务管理制度》执行，无截留、挪用资金等情况。预决算信息内容均在部门网站公示，公开信息基础数据信息和会计信息资料准确、真实、完整。</w:t>
      </w:r>
    </w:p>
    <w:p w14:paraId="7473702D">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我单位采购项目严格按《岳阳市预算单位政府集中采购目录及标准指引(2022版)》（岳财发〔2022〕2号）和《湖南省财政厅关于印发&lt;湖南省政府采购电子卖场管理办法&gt;的通知》（湘财购〔2019〕27号）等相关制度程序办理，2023年度</w:t>
      </w:r>
      <w:r>
        <w:rPr>
          <w:rFonts w:hint="eastAsia" w:ascii="方正仿宋_GB2312" w:hAnsi="方正仿宋_GB2312" w:eastAsia="方正仿宋_GB2312" w:cs="方正仿宋_GB2312"/>
          <w:color w:val="auto"/>
          <w:kern w:val="0"/>
          <w:sz w:val="32"/>
          <w:szCs w:val="32"/>
          <w:highlight w:val="none"/>
          <w:lang w:val="en-US" w:eastAsia="zh-CN" w:bidi="ar-SA"/>
        </w:rPr>
        <w:t>我单位政府采购目录以内及政府采购限额以上项目采购总额为</w:t>
      </w:r>
      <w:r>
        <w:rPr>
          <w:rFonts w:hint="eastAsia" w:ascii="方正仿宋_GB2312" w:hAnsi="方正仿宋_GB2312" w:eastAsia="方正仿宋_GB2312" w:cs="方正仿宋_GB2312"/>
          <w:color w:val="auto"/>
          <w:kern w:val="0"/>
          <w:sz w:val="32"/>
          <w:szCs w:val="32"/>
          <w:lang w:val="en-US" w:eastAsia="zh-CN" w:bidi="ar-SA"/>
        </w:rPr>
        <w:t>277.18</w:t>
      </w:r>
      <w:r>
        <w:rPr>
          <w:rFonts w:hint="eastAsia" w:ascii="方正仿宋_GB2312" w:hAnsi="方正仿宋_GB2312" w:eastAsia="方正仿宋_GB2312" w:cs="方正仿宋_GB2312"/>
          <w:color w:val="auto"/>
          <w:kern w:val="0"/>
          <w:sz w:val="32"/>
          <w:szCs w:val="32"/>
          <w:lang w:val="en-US" w:eastAsia="zh-CN" w:bidi="ar-SA"/>
        </w:rPr>
        <w:t>万元。</w:t>
      </w:r>
    </w:p>
    <w:p w14:paraId="07E87987">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480" w:firstLineChars="200"/>
        <w:jc w:val="both"/>
        <w:textAlignment w:val="auto"/>
        <w:rPr>
          <w:rFonts w:hint="eastAsia" w:ascii="方正楷体_GB2312" w:hAnsi="方正楷体_GB2312" w:eastAsia="方正楷体_GB2312" w:cs="方正楷体_GB2312"/>
          <w:color w:val="auto"/>
          <w:kern w:val="0"/>
          <w:sz w:val="32"/>
          <w:szCs w:val="32"/>
          <w:lang w:val="en-US" w:eastAsia="zh-CN" w:bidi="ar-SA"/>
        </w:rPr>
      </w:pPr>
      <w:r>
        <w:rPr>
          <w:rFonts w:hint="eastAsia" w:ascii="方正楷体_GB2312" w:hAnsi="方正楷体_GB2312" w:eastAsia="方正楷体_GB2312" w:cs="方正楷体_GB2312"/>
          <w:color w:val="auto"/>
        </w:rPr>
        <w:t xml:space="preserve"> </w:t>
      </w:r>
      <w:r>
        <w:rPr>
          <w:rFonts w:hint="eastAsia" w:ascii="方正楷体_GB2312" w:hAnsi="方正楷体_GB2312" w:eastAsia="方正楷体_GB2312" w:cs="方正楷体_GB2312"/>
          <w:b/>
          <w:bCs/>
          <w:color w:val="auto"/>
          <w:kern w:val="0"/>
          <w:sz w:val="32"/>
          <w:szCs w:val="32"/>
          <w:lang w:val="en-US" w:eastAsia="zh-CN" w:bidi="ar-SA"/>
        </w:rPr>
        <w:t>（二）固定资产和无形资产管理情况。</w:t>
      </w:r>
    </w:p>
    <w:p w14:paraId="07685D9D">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1.2023年末固定资产和无形资产账面原值为3.5万元，本年度购置增加3.5万元。固定资产和无形资产使用率为100%，无闲置固定资产和无形资产。</w:t>
      </w:r>
    </w:p>
    <w:p w14:paraId="118E9A5C">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2.根据《岳阳市市直行政事业单位通用资产配置标准》（岳财发〔2018〕12号）落实了固定资产从购置、使用、清查，到处置、交接的规范化管理，明确了职责，保障了国有资产安全，提高了国有资产的使用效率。</w:t>
      </w:r>
    </w:p>
    <w:p w14:paraId="40FF0C39">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3.2023年对固定资产进行了盘点，保证了账实相符。</w:t>
      </w:r>
    </w:p>
    <w:p w14:paraId="0ECD44ED">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kern w:val="0"/>
          <w:sz w:val="32"/>
          <w:szCs w:val="32"/>
          <w:lang w:val="en-US" w:eastAsia="zh-CN" w:bidi="ar-SA"/>
        </w:rPr>
        <w:t>（三）</w:t>
      </w:r>
      <w:r>
        <w:rPr>
          <w:rFonts w:hint="eastAsia" w:ascii="方正楷体_GB2312" w:hAnsi="方正楷体_GB2312" w:eastAsia="方正楷体_GB2312" w:cs="方正楷体_GB2312"/>
          <w:b/>
          <w:bCs/>
          <w:color w:val="auto"/>
          <w:sz w:val="32"/>
          <w:szCs w:val="32"/>
          <w:lang w:val="en-US" w:eastAsia="zh-CN"/>
        </w:rPr>
        <w:t>紧扣工作重点，奋力彰显作为。</w:t>
      </w:r>
    </w:p>
    <w:p w14:paraId="560A5F3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面对单位重新整合组建成立的新形势、新任务、新要求，对如何管理好干部职工队伍、园区企业监管、基础设施建设，罗家坳填埋场运营管理以及优化园区营商环境等工作，我中心主动担当履职，积极创新工作方式方法，真抓实干，不断推动中心工作健康稳步发展。</w:t>
      </w:r>
    </w:p>
    <w:p w14:paraId="2BE0D17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1.</w:t>
      </w:r>
      <w:r>
        <w:rPr>
          <w:rFonts w:hint="eastAsia" w:ascii="方正仿宋_GB2312" w:hAnsi="方正仿宋_GB2312" w:eastAsia="方正仿宋_GB2312" w:cs="方正仿宋_GB2312"/>
          <w:b/>
          <w:bCs/>
          <w:color w:val="auto"/>
          <w:sz w:val="32"/>
          <w:szCs w:val="32"/>
          <w:u w:val="none"/>
          <w:lang w:val="en-US" w:eastAsia="zh-CN"/>
        </w:rPr>
        <w:t>强化园区管理，扛牢</w:t>
      </w:r>
      <w:r>
        <w:rPr>
          <w:rFonts w:hint="eastAsia" w:ascii="方正仿宋_GB2312" w:hAnsi="方正仿宋_GB2312" w:eastAsia="方正仿宋_GB2312" w:cs="方正仿宋_GB2312"/>
          <w:b/>
          <w:bCs/>
          <w:color w:val="auto"/>
          <w:sz w:val="32"/>
          <w:szCs w:val="32"/>
          <w:u w:val="none"/>
          <w:lang w:val="en-US" w:eastAsia="zh-CN"/>
        </w:rPr>
        <w:t>安全生产运营责任。</w:t>
      </w:r>
      <w:r>
        <w:rPr>
          <w:rFonts w:hint="eastAsia" w:ascii="方正仿宋_GB2312" w:hAnsi="方正仿宋_GB2312" w:eastAsia="方正仿宋_GB2312" w:cs="方正仿宋_GB2312"/>
          <w:color w:val="auto"/>
          <w:kern w:val="0"/>
          <w:sz w:val="32"/>
          <w:szCs w:val="32"/>
          <w:lang w:val="en-US" w:eastAsia="zh-CN" w:bidi="ar-SA"/>
        </w:rPr>
        <w:t>在局党组的坚强领导下，中心通过党建引领，深入园区进行实地走访调研、定期问题督查指导，通过加强驻场管理、定期组织召开安全会议，规范园区日常运营监督、强化服务意识，协调园区周边环境等一系列工作举措，做到隐患排查到位、整改落实到位、培训宣传到位，全力筑牢安全生产底线，保障园区企业近5年持续安全运行。同时，完成园区道路、污水管网等基础设施的维修维护、绿化养护，除锈防腐等管理工作，为园区企业运营做好配套服务。</w:t>
      </w:r>
    </w:p>
    <w:p w14:paraId="671A1F0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截至年底，生活垃圾焚烧发电项目一期</w:t>
      </w:r>
      <w:r>
        <w:rPr>
          <w:rFonts w:hint="eastAsia" w:ascii="方正仿宋_GB2312" w:hAnsi="方正仿宋_GB2312" w:eastAsia="方正仿宋_GB2312" w:cs="方正仿宋_GB2312"/>
          <w:color w:val="auto"/>
          <w:spacing w:val="6"/>
          <w:sz w:val="32"/>
          <w:szCs w:val="32"/>
          <w:lang w:val="en-US" w:eastAsia="zh-CN"/>
        </w:rPr>
        <w:t>共焚烧生活垃圾53.78万吨（含临湘市、岳阳县，日处理量约1500吨），处理炉渣10.88万余吨，</w:t>
      </w:r>
      <w:r>
        <w:rPr>
          <w:rFonts w:hint="eastAsia" w:ascii="方正仿宋_GB2312" w:hAnsi="方正仿宋_GB2312" w:eastAsia="方正仿宋_GB2312" w:cs="方正仿宋_GB2312"/>
          <w:color w:val="auto"/>
          <w:kern w:val="0"/>
          <w:sz w:val="32"/>
          <w:szCs w:val="32"/>
          <w:lang w:val="en-US" w:eastAsia="zh-CN" w:bidi="ar-SA"/>
        </w:rPr>
        <w:t>上网发电量</w:t>
      </w:r>
      <w:r>
        <w:rPr>
          <w:rFonts w:hint="eastAsia" w:ascii="方正仿宋_GB2312" w:hAnsi="方正仿宋_GB2312" w:eastAsia="方正仿宋_GB2312" w:cs="方正仿宋_GB2312"/>
          <w:color w:val="auto"/>
          <w:spacing w:val="6"/>
          <w:sz w:val="32"/>
          <w:szCs w:val="32"/>
          <w:lang w:val="en-US" w:eastAsia="zh-CN"/>
        </w:rPr>
        <w:t>1.97</w:t>
      </w:r>
      <w:r>
        <w:rPr>
          <w:rFonts w:hint="eastAsia" w:ascii="方正仿宋_GB2312" w:hAnsi="方正仿宋_GB2312" w:eastAsia="方正仿宋_GB2312" w:cs="方正仿宋_GB2312"/>
          <w:color w:val="auto"/>
          <w:kern w:val="0"/>
          <w:sz w:val="32"/>
          <w:szCs w:val="32"/>
          <w:lang w:val="en-US" w:eastAsia="zh-CN" w:bidi="ar-SA"/>
        </w:rPr>
        <w:t>亿度，</w:t>
      </w:r>
      <w:r>
        <w:rPr>
          <w:rFonts w:hint="eastAsia" w:ascii="方正仿宋_GB2312" w:hAnsi="方正仿宋_GB2312" w:eastAsia="方正仿宋_GB2312" w:cs="方正仿宋_GB2312"/>
          <w:color w:val="auto"/>
          <w:spacing w:val="6"/>
          <w:sz w:val="32"/>
          <w:szCs w:val="32"/>
          <w:lang w:val="en-US" w:eastAsia="zh-CN"/>
        </w:rPr>
        <w:t>处理炉渣10.88万余吨，处理医疗废物3300余吨</w:t>
      </w:r>
      <w:r>
        <w:rPr>
          <w:rFonts w:hint="eastAsia" w:ascii="方正仿宋_GB2312" w:hAnsi="方正仿宋_GB2312" w:eastAsia="方正仿宋_GB2312" w:cs="方正仿宋_GB2312"/>
          <w:color w:val="auto"/>
          <w:kern w:val="0"/>
          <w:sz w:val="32"/>
          <w:szCs w:val="32"/>
          <w:lang w:val="en-US" w:eastAsia="zh-CN" w:bidi="ar-SA"/>
        </w:rPr>
        <w:t>。同时，加大基础设施的维护管理力度，对进出道路、园区污水泵站及沿线3.5公里的污水管道目前已做全面检修，在线监测设备及时维护保养，保障基础设施完善，确保各企业安全、平稳运营。</w:t>
      </w:r>
    </w:p>
    <w:p w14:paraId="7AEC3E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2.稳步推进生活垃圾焚烧发电项目二期建设。</w:t>
      </w:r>
      <w:r>
        <w:rPr>
          <w:rFonts w:hint="eastAsia" w:ascii="方正仿宋_GB2312" w:hAnsi="方正仿宋_GB2312" w:eastAsia="方正仿宋_GB2312" w:cs="方正仿宋_GB2312"/>
          <w:color w:val="auto"/>
          <w:kern w:val="0"/>
          <w:sz w:val="32"/>
          <w:szCs w:val="32"/>
          <w:lang w:val="en-US" w:eastAsia="zh-CN" w:bidi="ar-SA"/>
        </w:rPr>
        <w:t>根据《城镇生活垃圾分类和处理设施补短板强弱项实施方案》文件精神，到2023年基本实现原生生活垃圾“零填埋”要求，2021年8月，我市印发了《岳阳市生活垃圾焚烧发电区域统筹实施方案》，明确了城乡统筹布局合理，运营高效，邻里和谐的总体目标。2022年12月30日，经省发改委核准立项，</w:t>
      </w:r>
      <w:r>
        <w:rPr>
          <w:rFonts w:hint="eastAsia" w:ascii="方正仿宋_GB2312" w:hAnsi="方正仿宋_GB2312" w:eastAsia="方正仿宋_GB2312" w:cs="方正仿宋_GB2312"/>
          <w:color w:val="auto"/>
          <w:kern w:val="0"/>
          <w:sz w:val="32"/>
          <w:szCs w:val="32"/>
          <w:lang w:val="en-US" w:eastAsia="zh-CN" w:bidi="ar-SA"/>
        </w:rPr>
        <w:t>生活垃圾焚烧发电项目列为岳阳市 2023 年重大项目建设计</w:t>
      </w:r>
      <w:r>
        <w:rPr>
          <w:rFonts w:hint="eastAsia" w:ascii="方正仿宋_GB2312" w:hAnsi="方正仿宋_GB2312" w:eastAsia="方正仿宋_GB2312" w:cs="方正仿宋_GB2312"/>
          <w:color w:val="auto"/>
          <w:kern w:val="0"/>
          <w:sz w:val="32"/>
          <w:szCs w:val="32"/>
          <w:lang w:val="en-US" w:eastAsia="zh-CN" w:bidi="ar-SA"/>
        </w:rPr>
        <w:t>划。同意启动项目二期建设，投资概算3.68亿，日处理规模为800吨/天。统筹处置华容县、临湘市及岳阳县（部分地区）地区的生活垃圾。经前期相关手续办理，项目于2023年5月正式开工，建设期间我中心组织人员驻场监督项目施工进度和施工质量，领导带队现场指挥与协调，强化人员安全意识，确保了项目安全施工。当前完成投资1.89亿元，预计2024年竣工投产运营。</w:t>
      </w:r>
    </w:p>
    <w:p w14:paraId="7AE9A3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3.</w:t>
      </w:r>
      <w:r>
        <w:rPr>
          <w:rFonts w:hint="eastAsia" w:ascii="方正仿宋_GB2312" w:hAnsi="方正仿宋_GB2312" w:eastAsia="方正仿宋_GB2312" w:cs="方正仿宋_GB2312"/>
          <w:b/>
          <w:bCs/>
          <w:color w:val="auto"/>
          <w:sz w:val="32"/>
          <w:szCs w:val="32"/>
          <w:u w:val="none"/>
          <w:lang w:val="en-US" w:eastAsia="zh-CN"/>
        </w:rPr>
        <w:t>高位推动</w:t>
      </w:r>
      <w:r>
        <w:rPr>
          <w:rFonts w:hint="eastAsia" w:ascii="方正仿宋_GB2312" w:hAnsi="方正仿宋_GB2312" w:eastAsia="方正仿宋_GB2312" w:cs="方正仿宋_GB2312"/>
          <w:b/>
          <w:bCs/>
          <w:color w:val="auto"/>
          <w:sz w:val="32"/>
          <w:szCs w:val="32"/>
          <w:u w:val="none"/>
          <w:lang w:val="en-US" w:eastAsia="zh-CN"/>
        </w:rPr>
        <w:t>垃圾分类工作。</w:t>
      </w:r>
      <w:r>
        <w:rPr>
          <w:rFonts w:hint="eastAsia" w:ascii="方正仿宋_GB2312" w:hAnsi="方正仿宋_GB2312" w:eastAsia="方正仿宋_GB2312" w:cs="方正仿宋_GB2312"/>
          <w:color w:val="auto"/>
          <w:kern w:val="0"/>
          <w:sz w:val="32"/>
          <w:szCs w:val="32"/>
          <w:lang w:val="en-US" w:eastAsia="zh-CN" w:bidi="ar-SA"/>
        </w:rPr>
        <w:t>我市厨余垃圾资源化利用和无害化处理项目在市委、市政府的坚强领导下，多次组织召开专题会议，协调解决各种难点问题，项目于2023年1月正式投产运营。我中心积极做好基础工作，助推项目建设，贯彻落实市城管局垃圾分类中心城区厨余垃圾收运工作，配合局垃圾分类科、局考评科、市机关事务局督促推进机关单位厨余垃圾收运事宜，科学指导运营企业与各公共机构、餐饮单位签订收运协议。2023年共签约门店2680家，科学合理安排收运线路16条，收运车辆16辆。自10月底起，收运量突破100吨/天，为我市垃圾分类工作打下坚实基础。全年共收运餐厨垃圾2.2万吨、油脂307.85吨，提炼销售油脂1051.76吨，做到了资源化、减量化、无害化处理。</w:t>
      </w:r>
    </w:p>
    <w:p w14:paraId="7A3AC0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楷体_GB2312" w:hAnsi="方正楷体_GB2312" w:eastAsia="方正楷体_GB2312" w:cs="方正楷体_GB2312"/>
          <w:b/>
          <w:bCs/>
          <w:color w:val="auto"/>
          <w:sz w:val="32"/>
          <w:szCs w:val="32"/>
          <w:u w:val="none"/>
          <w:lang w:val="en-US" w:eastAsia="zh-CN"/>
        </w:rPr>
      </w:pPr>
      <w:r>
        <w:rPr>
          <w:rFonts w:hint="eastAsia" w:ascii="方正楷体_GB2312" w:hAnsi="方正楷体_GB2312" w:eastAsia="方正楷体_GB2312" w:cs="方正楷体_GB2312"/>
          <w:b/>
          <w:bCs/>
          <w:color w:val="auto"/>
          <w:sz w:val="32"/>
          <w:szCs w:val="32"/>
          <w:u w:val="none"/>
          <w:lang w:val="en-US" w:eastAsia="zh-CN"/>
        </w:rPr>
        <w:t>（四）严标准，强化生态环境问题持续整改</w:t>
      </w:r>
    </w:p>
    <w:p w14:paraId="146FC56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lang w:val="en-US" w:eastAsia="zh-CN"/>
        </w:rPr>
        <w:t>1.高度重视，按要求落实罗家坳无害化处理场持续整改。</w:t>
      </w:r>
      <w:r>
        <w:rPr>
          <w:rFonts w:hint="eastAsia" w:ascii="方正仿宋_GB2312" w:hAnsi="方正仿宋_GB2312" w:eastAsia="方正仿宋_GB2312" w:cs="方正仿宋_GB2312"/>
          <w:color w:val="auto"/>
          <w:kern w:val="0"/>
          <w:sz w:val="32"/>
          <w:szCs w:val="32"/>
          <w:lang w:val="en-US" w:eastAsia="zh-CN" w:bidi="ar-SA"/>
        </w:rPr>
        <w:t>罗家坳无害化处理场自2019年被列为《长江经济带生态环境问题警示片问题清单》以来，省、市政府以及各级部门单位高度重视该场的生态环境问题整改，历年来被省、市列为重点监管和督查单位，在市委、市政府、市城管局的关心与支持下，先后完成了办公楼及进场道路的修缮、场内及周边环境的整改、渗滤液处理车间的设备更换，飞灰填埋区的改造等系列问题整改。同时，定期开展场区安全环境排查整治。加固压实飞灰临时覆盖，强化填埋场边坡防护，加大大风暴雨等恶劣天气场区防护措施，增加巡查次数，及时疏通排水截洪沟渠。持续进行园区环境检测，多举措确保该场环保安全。截止目前填埋区共埋飞灰5.8万吨，剩余库容约39.62万m³，年内共处理垃圾渗滤液6400吨。</w:t>
      </w:r>
    </w:p>
    <w:p w14:paraId="6D138A6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由于现有处理设备不具备全量化处理工艺，随着液位的不断下降，渗滤液进入原水罐的残渣逐年增加，导致原水电导率高、石英砂过滤器及（一、二级）膜柱中叠式膜严重堵塞，冲洗难度大，产水率低，设备使用寿命短，维修维护成本高（尤其是膜柱），设备平稳运行得不到保障，存在一定的环保安全隐患。为消除环保风险问题，根据环保局要求，经报请市政府同意，将该项目列为岳阳市2023年市本级政府投资项目计划。目前已完成项目前期各项工作，待中标施工单位公示结束后进入施工阶段，我中心将全力完成该项目建设，同时确保各项工作达到环保要求。</w:t>
      </w:r>
    </w:p>
    <w:p w14:paraId="6E6F4CEF">
      <w:pPr>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pacing w:val="-6"/>
          <w:sz w:val="32"/>
          <w:szCs w:val="32"/>
          <w:lang w:val="en-US" w:eastAsia="zh-CN"/>
        </w:rPr>
        <w:t>2.静脉产业园</w:t>
      </w:r>
      <w:r>
        <w:rPr>
          <w:rFonts w:hint="eastAsia" w:ascii="方正仿宋_GB2312" w:hAnsi="方正仿宋_GB2312" w:eastAsia="方正仿宋_GB2312" w:cs="方正仿宋_GB2312"/>
          <w:b/>
          <w:bCs/>
          <w:color w:val="auto"/>
          <w:spacing w:val="-6"/>
          <w:sz w:val="32"/>
          <w:szCs w:val="32"/>
        </w:rPr>
        <w:t>长江入河排污口“一口一策”整治</w:t>
      </w:r>
      <w:r>
        <w:rPr>
          <w:rFonts w:hint="eastAsia" w:ascii="方正仿宋_GB2312" w:hAnsi="方正仿宋_GB2312" w:eastAsia="方正仿宋_GB2312" w:cs="方正仿宋_GB2312"/>
          <w:b/>
          <w:bCs/>
          <w:color w:val="auto"/>
          <w:spacing w:val="-6"/>
          <w:sz w:val="32"/>
          <w:szCs w:val="32"/>
          <w:lang w:eastAsia="zh-CN"/>
        </w:rPr>
        <w:t>。</w:t>
      </w:r>
      <w:r>
        <w:rPr>
          <w:rFonts w:hint="eastAsia" w:ascii="方正仿宋_GB2312" w:hAnsi="方正仿宋_GB2312" w:eastAsia="方正仿宋_GB2312" w:cs="方正仿宋_GB2312"/>
          <w:color w:val="auto"/>
          <w:kern w:val="0"/>
          <w:sz w:val="32"/>
          <w:szCs w:val="32"/>
          <w:lang w:val="en-US" w:eastAsia="zh-CN" w:bidi="ar-SA"/>
        </w:rPr>
        <w:t>根据2020年12月，生态环境部办公厅《关于交办长江入河排污口清单的函》(环办执法函〔2020〕708号)及2021年6月，云溪区生态环境保护委员会《关于印发&lt;2021年岳阳市云溪区长江入河排污口专项整治工作实施方案&gt;的通知》(岳云环委发[2021]3号)将市静脉产业园雨水排口（序号为71号）纳入岳阳市长江入河排污口“一口一策”整治清单中，指出存在园区雨水管网不完善、排口建设不规范的问题，须在2024年底前完成排污口整治工作。经向市政府请示，市委常委、副市长李美云批示，原则同意该基础设施建设。6月该项目被列入岳阳市2023年市本级政府投资项目计划。并根据市城管局批示，我中心已委托岳阳市勘测设计院制定实施方案、初步设计、编制预算，同时对接市发改委、市财政局加快办理前期相关事项。现已完成项目立项，可研编制，初步设计方案及概算计划，完成了市（区）两级环保局、市住建局审定。待工程概算报市财评中心审定后，根据评审结果按程序依法依规加快完成相应招标及工程实施等工作。</w:t>
      </w:r>
    </w:p>
    <w:p w14:paraId="58F709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楷体_GB2312" w:hAnsi="方正楷体_GB2312" w:eastAsia="方正楷体_GB2312" w:cs="方正楷体_GB2312"/>
          <w:b/>
          <w:bCs/>
          <w:color w:val="auto"/>
          <w:sz w:val="32"/>
          <w:szCs w:val="32"/>
          <w:u w:val="none"/>
          <w:lang w:val="en-US" w:eastAsia="zh-CN"/>
        </w:rPr>
      </w:pPr>
      <w:r>
        <w:rPr>
          <w:rFonts w:hint="eastAsia" w:ascii="方正楷体_GB2312" w:hAnsi="方正楷体_GB2312" w:eastAsia="方正楷体_GB2312" w:cs="方正楷体_GB2312"/>
          <w:b/>
          <w:bCs/>
          <w:color w:val="auto"/>
          <w:sz w:val="32"/>
          <w:szCs w:val="32"/>
          <w:u w:val="none"/>
          <w:lang w:val="en-US" w:eastAsia="zh-CN"/>
        </w:rPr>
        <w:t>（五）积极营造良好营商环境，促进企业平稳发展。</w:t>
      </w:r>
    </w:p>
    <w:p w14:paraId="52ADE2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1.协调外部矛盾，及时化解潜在风险。</w:t>
      </w:r>
      <w:r>
        <w:rPr>
          <w:rFonts w:hint="eastAsia" w:ascii="方正仿宋_GB2312" w:hAnsi="方正仿宋_GB2312" w:eastAsia="方正仿宋_GB2312" w:cs="方正仿宋_GB2312"/>
          <w:color w:val="auto"/>
          <w:kern w:val="0"/>
          <w:sz w:val="32"/>
          <w:szCs w:val="32"/>
          <w:lang w:val="en-US" w:eastAsia="zh-CN" w:bidi="ar-SA"/>
        </w:rPr>
        <w:t>我中心始终实事求是，统筹协调各级部门单位，依法依规，抓好平安建设、信访维稳、禁毒反恐、扫黑除恶等综合维稳工作。针对发电项目建设以来，多次发生当地村民阻工、堵路等群体事件，我中心积极营造好外部环境，会同云溪区陆城镇政府及时劝返，对村民的合理诉求及时向市政府、市城管局、市财政局报告，推动解决好园区项目建设用地征收、安全防护区内房屋征拆及不便耕种土地征收经费的落实工作。对接市政府及相关部门单位，助推会议纪要的印发，为房屋征拆问题提供支撑依据。</w:t>
      </w:r>
    </w:p>
    <w:p w14:paraId="157BF7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b/>
          <w:bCs/>
          <w:color w:val="auto"/>
          <w:sz w:val="32"/>
          <w:szCs w:val="32"/>
          <w:u w:val="none"/>
          <w:lang w:val="en-US" w:eastAsia="zh-CN"/>
        </w:rPr>
        <w:t>2.做好网络信息安全与市民投诉意见回复。</w:t>
      </w:r>
      <w:r>
        <w:rPr>
          <w:rFonts w:hint="eastAsia" w:ascii="方正仿宋_GB2312" w:hAnsi="方正仿宋_GB2312" w:eastAsia="方正仿宋_GB2312" w:cs="方正仿宋_GB2312"/>
          <w:color w:val="auto"/>
          <w:kern w:val="0"/>
          <w:sz w:val="32"/>
          <w:szCs w:val="32"/>
          <w:lang w:val="en-US" w:eastAsia="zh-CN" w:bidi="ar-SA"/>
        </w:rPr>
        <w:t>随着信息化建设的不断扩大，城市管理工作也面临着越来越多的网络安全挑战。网络舆论及市民诉求是小中见大极易发酵的安全隐患点。为此，我中心成立工作领导小组，加大统筹网络安全保障工作力度，落实各项规章制度，定期带队赴园区与罗家坳各企业开展网络信息安全专项检查，发现问题要求立行立改。及时处理、回复市民热线电话与投诉，营造良好的网络生态环境。</w:t>
      </w:r>
    </w:p>
    <w:p w14:paraId="4AF35E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2312" w:hAnsi="方正仿宋_GB2312" w:eastAsia="方正仿宋_GB2312" w:cs="方正仿宋_GB2312"/>
          <w:b w:val="0"/>
          <w:bCs w:val="0"/>
          <w:color w:val="auto"/>
          <w:sz w:val="32"/>
          <w:szCs w:val="32"/>
          <w:u w:val="none"/>
          <w:lang w:val="en-US" w:eastAsia="zh-CN"/>
        </w:rPr>
      </w:pPr>
      <w:r>
        <w:rPr>
          <w:rFonts w:hint="eastAsia" w:ascii="方正仿宋_GB2312" w:hAnsi="方正仿宋_GB2312" w:eastAsia="方正仿宋_GB2312" w:cs="方正仿宋_GB2312"/>
          <w:b/>
          <w:bCs/>
          <w:color w:val="auto"/>
          <w:sz w:val="32"/>
          <w:szCs w:val="32"/>
          <w:u w:val="none"/>
          <w:lang w:val="en-US" w:eastAsia="zh-CN"/>
        </w:rPr>
        <w:t>3.做好企业调研，解决实际困难。</w:t>
      </w:r>
      <w:r>
        <w:rPr>
          <w:rFonts w:hint="eastAsia" w:ascii="方正仿宋_GB2312" w:hAnsi="方正仿宋_GB2312" w:eastAsia="方正仿宋_GB2312" w:cs="方正仿宋_GB2312"/>
          <w:color w:val="auto"/>
          <w:sz w:val="32"/>
          <w:szCs w:val="32"/>
          <w:lang w:val="en-US" w:eastAsia="zh-CN"/>
        </w:rPr>
        <w:t>为深入学习贯彻习近平新时代中国特色社会主义思想，全面贯彻党的二十大精神，认真落实中央、省、市及市城管文件精神，深入开展“走、找、想、促”活动，进一步优化城市管理，推动全市垃圾分类工作持续健康发展，我中心班子坚持深入学习、深入基层、深入研究、</w:t>
      </w:r>
      <w:r>
        <w:rPr>
          <w:rFonts w:hint="eastAsia" w:ascii="方正仿宋_GB2312" w:hAnsi="方正仿宋_GB2312" w:eastAsia="方正仿宋_GB2312" w:cs="方正仿宋_GB2312"/>
          <w:color w:val="auto"/>
          <w:sz w:val="32"/>
          <w:szCs w:val="32"/>
        </w:rPr>
        <w:t>深入转化</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多次现场面对面了解、分析、解决问题，为企业顺利发展排忧解难</w:t>
      </w:r>
      <w:r>
        <w:rPr>
          <w:rFonts w:hint="eastAsia" w:ascii="方正仿宋_GB2312" w:hAnsi="方正仿宋_GB2312" w:eastAsia="方正仿宋_GB2312" w:cs="方正仿宋_GB2312"/>
          <w:color w:val="auto"/>
          <w:sz w:val="32"/>
          <w:szCs w:val="32"/>
          <w:lang w:eastAsia="zh-CN"/>
        </w:rPr>
        <w:t>。</w:t>
      </w:r>
    </w:p>
    <w:p w14:paraId="383DEAE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2023年，我中心预算支出总额为453.54万元，其中一般公共预算支出总额为435.54万元（基本支出200.55万元，项目支出249.32万元），其他资金支出总额17.89万元。预算成本控制较好，整体支出绩效良好，达到既定目标要求。</w:t>
      </w:r>
    </w:p>
    <w:p w14:paraId="30B22D86">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七、存在的问题及原因分析</w:t>
      </w:r>
    </w:p>
    <w:p w14:paraId="13C96924">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1.预算不够精准。主要原因为单位编制预算时对不可预见因素评估不够以及2023年单位单列，造成了一定的预算调整。</w:t>
      </w:r>
    </w:p>
    <w:p w14:paraId="41429E14">
      <w:pPr>
        <w:ind w:firstLine="640" w:firstLineChars="200"/>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2.预算绩效目标编制不够规范，指标关联细化程度有待进一步提升，可衡量性不强。主要原因为绩效管理由财务部门兼任，财务人员大多是会计、财务管理、经济学等专业，绩效管理不但需要掌握财经知识，还要熟悉相关政策、了解项目业务情况，需要具备管理学、法学、统计学、工程学等方面的知识，并持续更新知识体系。</w:t>
      </w:r>
    </w:p>
    <w:p w14:paraId="1DF1F5E8">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3.预算执行率有待进一步提升。</w:t>
      </w:r>
    </w:p>
    <w:p w14:paraId="09EC1ADE">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八、下一步改进措施</w:t>
      </w:r>
    </w:p>
    <w:p w14:paraId="1BEBD9A5">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1.科学合理编制预算，严格执行预算。按照《预算法》及其实施条例的相关规定，参考上一年的预算执行情况和年度收支预测科学编制预算，避免年中大幅追加预算资金以及超预算。在预算执行中，严格按照预算科目支出，避免预算科目间的预算资金调剂，确需调剂的，按规定程序报经批准。</w:t>
      </w:r>
    </w:p>
    <w:p w14:paraId="20DA564F">
      <w:pPr>
        <w:pStyle w:val="7"/>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bidi="ar-SA"/>
        </w:rPr>
        <w:t>2.</w:t>
      </w:r>
      <w:r>
        <w:rPr>
          <w:rFonts w:hint="eastAsia" w:ascii="方正仿宋_GB2312" w:hAnsi="方正仿宋_GB2312" w:eastAsia="方正仿宋_GB2312" w:cs="方正仿宋_GB2312"/>
          <w:b w:val="0"/>
          <w:bCs w:val="0"/>
          <w:color w:val="auto"/>
          <w:sz w:val="32"/>
          <w:szCs w:val="32"/>
          <w:lang w:val="en-US" w:eastAsia="zh-CN"/>
        </w:rPr>
        <w:t>加强单位部门间沟通协调，及时掌握工作进度，及时申请预算资金，进一步提高预算执行率。</w:t>
      </w:r>
    </w:p>
    <w:p w14:paraId="6552839C">
      <w:pPr>
        <w:pStyle w:val="7"/>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b w:val="0"/>
          <w:bCs w:val="0"/>
          <w:color w:val="auto"/>
          <w:sz w:val="32"/>
          <w:szCs w:val="32"/>
          <w:lang w:val="en-US" w:eastAsia="zh-CN"/>
        </w:rPr>
        <w:t>.加强事前绩效评估管理，合理分配资金投入。</w:t>
      </w:r>
    </w:p>
    <w:p w14:paraId="64F7716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sz w:val="32"/>
          <w:szCs w:val="32"/>
          <w:lang w:val="en-US" w:eastAsia="zh-CN"/>
        </w:rPr>
        <w:t>4.</w:t>
      </w:r>
      <w:r>
        <w:rPr>
          <w:rFonts w:hint="eastAsia" w:ascii="方正仿宋_GB2312" w:hAnsi="方正仿宋_GB2312" w:eastAsia="方正仿宋_GB2312" w:cs="方正仿宋_GB2312"/>
          <w:b w:val="0"/>
          <w:bCs w:val="0"/>
          <w:color w:val="auto"/>
          <w:kern w:val="0"/>
          <w:sz w:val="32"/>
          <w:szCs w:val="32"/>
          <w:lang w:val="en-US" w:eastAsia="zh-CN" w:bidi="ar-SA"/>
        </w:rPr>
        <w:t>加快人才队伍建设，提升绩效管理人员专业水平。引进专业人才，充实绩效管理人才队伍，加强业务学习，提升绩效管理人员综合素质。同时，进一步强化部门间协作联动，提升绩效管理水平。</w:t>
      </w:r>
    </w:p>
    <w:p w14:paraId="2A4A419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九、部门整体支出绩效自评结果拟应用和公开情况</w:t>
      </w:r>
      <w:r>
        <w:rPr>
          <w:rFonts w:hint="eastAsia"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其他需要说明的情况</w:t>
      </w:r>
    </w:p>
    <w:p w14:paraId="35F6808D">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kern w:val="0"/>
          <w:sz w:val="32"/>
          <w:szCs w:val="32"/>
          <w:lang w:val="en-US" w:eastAsia="zh-CN" w:bidi="ar-SA"/>
        </w:rPr>
        <w:t>根据评价指标综合评分，2023年单位整体支出绩效自评得分“98.92 分”（见附件二），我单位预算绩效目标、预算、决算、绩效评价等信息均按相关要求及时在岳阳市城市管理和综合执法局官网上公开。</w:t>
      </w:r>
      <w:r>
        <w:rPr>
          <w:rFonts w:hint="eastAsia" w:ascii="方正仿宋_GB2312" w:hAnsi="方正仿宋_GB2312" w:eastAsia="方正仿宋_GB2312" w:cs="方正仿宋_GB2312"/>
          <w:color w:val="auto"/>
          <w:kern w:val="0"/>
          <w:sz w:val="32"/>
          <w:szCs w:val="32"/>
          <w:highlight w:val="none"/>
          <w:lang w:val="en-US" w:eastAsia="zh-CN" w:bidi="ar-SA"/>
        </w:rPr>
        <w:t>下一步将进一步完善项目资金绩效评价内容，充分考虑项目资金使用合理合规性，支付进度是否达标等，定期或不定期的检查项目执行情况及资金使用情况，确保最大程度地发挥专项资金的引导带动作用。强化项目资金绩效评价结果的综合应用，将绩效评价结果与</w:t>
      </w:r>
      <w:bookmarkStart w:id="0" w:name="_GoBack"/>
      <w:bookmarkEnd w:id="0"/>
      <w:r>
        <w:rPr>
          <w:rFonts w:hint="eastAsia" w:ascii="方正仿宋_GB2312" w:hAnsi="方正仿宋_GB2312" w:eastAsia="方正仿宋_GB2312" w:cs="方正仿宋_GB2312"/>
          <w:color w:val="auto"/>
          <w:kern w:val="0"/>
          <w:sz w:val="32"/>
          <w:szCs w:val="32"/>
          <w:highlight w:val="none"/>
          <w:lang w:val="en-US" w:eastAsia="zh-CN" w:bidi="ar-SA"/>
        </w:rPr>
        <w:t>下年度资金预算挂钩，优化资金配置，提高资金效益。</w:t>
      </w:r>
    </w:p>
    <w:p w14:paraId="60F55889">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color w:val="auto"/>
        </w:rPr>
      </w:pPr>
    </w:p>
    <w:p w14:paraId="4D9ED34C">
      <w:pPr>
        <w:pStyle w:val="3"/>
        <w:keepNext w:val="0"/>
        <w:keepLines w:val="0"/>
        <w:pageBreakBefore w:val="0"/>
        <w:kinsoku/>
        <w:wordWrap/>
        <w:overflowPunct/>
        <w:topLinePunct w:val="0"/>
        <w:autoSpaceDE/>
        <w:autoSpaceDN/>
        <w:bidi w:val="0"/>
        <w:adjustRightInd/>
        <w:snapToGrid/>
        <w:spacing w:line="600" w:lineRule="exact"/>
        <w:ind w:left="0" w:leftChars="0"/>
        <w:jc w:val="both"/>
        <w:textAlignment w:val="auto"/>
        <w:rPr>
          <w:color w:val="auto"/>
        </w:rPr>
      </w:pPr>
    </w:p>
    <w:p w14:paraId="750D1CAD">
      <w:pPr>
        <w:pStyle w:val="4"/>
        <w:keepNext w:val="0"/>
        <w:keepLines w:val="0"/>
        <w:pageBreakBefore w:val="0"/>
        <w:kinsoku/>
        <w:wordWrap/>
        <w:overflowPunct/>
        <w:topLinePunct w:val="0"/>
        <w:autoSpaceDE/>
        <w:autoSpaceDN/>
        <w:bidi w:val="0"/>
        <w:adjustRightInd/>
        <w:snapToGrid/>
        <w:spacing w:line="600" w:lineRule="exact"/>
        <w:ind w:left="0" w:leftChars="0"/>
        <w:jc w:val="both"/>
        <w:textAlignment w:val="auto"/>
        <w:rPr>
          <w:color w:val="auto"/>
        </w:rPr>
      </w:pPr>
    </w:p>
    <w:p w14:paraId="5CC73B14">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2DA32C0F">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附件：</w:t>
      </w:r>
    </w:p>
    <w:p w14:paraId="2FF1BB6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highlight w:val="none"/>
          <w:lang w:val="en-US" w:eastAsia="zh-CN" w:bidi="ar-SA"/>
        </w:rPr>
      </w:pPr>
      <w:r>
        <w:rPr>
          <w:rFonts w:hint="eastAsia" w:ascii="方正仿宋_GB2312" w:hAnsi="方正仿宋_GB2312" w:eastAsia="方正仿宋_GB2312" w:cs="方正仿宋_GB2312"/>
          <w:color w:val="auto"/>
          <w:kern w:val="0"/>
          <w:sz w:val="32"/>
          <w:szCs w:val="32"/>
          <w:highlight w:val="none"/>
          <w:lang w:val="en-US" w:eastAsia="zh-CN" w:bidi="ar-SA"/>
        </w:rPr>
        <w:t>1.部门整体支出绩效评价基础数据表</w:t>
      </w:r>
    </w:p>
    <w:p w14:paraId="55DF751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highlight w:val="none"/>
          <w:lang w:val="en-US" w:eastAsia="zh-CN" w:bidi="ar-SA"/>
        </w:rPr>
      </w:pPr>
      <w:r>
        <w:rPr>
          <w:rFonts w:hint="eastAsia" w:ascii="方正仿宋_GB2312" w:hAnsi="方正仿宋_GB2312" w:eastAsia="方正仿宋_GB2312" w:cs="方正仿宋_GB2312"/>
          <w:color w:val="auto"/>
          <w:kern w:val="0"/>
          <w:sz w:val="32"/>
          <w:szCs w:val="32"/>
          <w:highlight w:val="none"/>
          <w:lang w:val="en-US" w:eastAsia="zh-CN" w:bidi="ar-SA"/>
        </w:rPr>
        <w:t>2.部门整体支出绩效自评表</w:t>
      </w:r>
    </w:p>
    <w:p w14:paraId="7FB4C73C">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2312" w:hAnsi="方正仿宋_GB2312" w:eastAsia="方正仿宋_GB2312" w:cs="方正仿宋_GB2312"/>
          <w:color w:val="auto"/>
          <w:kern w:val="0"/>
          <w:sz w:val="32"/>
          <w:szCs w:val="32"/>
          <w:highlight w:val="none"/>
          <w:lang w:val="en-US" w:eastAsia="zh-CN" w:bidi="ar-SA"/>
        </w:rPr>
      </w:pPr>
      <w:r>
        <w:rPr>
          <w:rFonts w:hint="eastAsia" w:ascii="方正仿宋_GB2312" w:hAnsi="方正仿宋_GB2312" w:eastAsia="方正仿宋_GB2312" w:cs="方正仿宋_GB2312"/>
          <w:color w:val="auto"/>
          <w:kern w:val="0"/>
          <w:sz w:val="32"/>
          <w:szCs w:val="32"/>
          <w:highlight w:val="none"/>
          <w:lang w:val="en-US" w:eastAsia="zh-CN" w:bidi="ar-SA"/>
        </w:rPr>
        <w:t>3.项目支出绩效自评表（附件3-1至3-3表）</w:t>
      </w:r>
    </w:p>
    <w:p w14:paraId="00740BDF">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color w:val="auto"/>
          <w:sz w:val="32"/>
          <w:szCs w:val="32"/>
        </w:rPr>
      </w:pPr>
    </w:p>
    <w:p w14:paraId="7FBFC1C4">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color w:val="auto"/>
          <w:lang w:val="en-US" w:eastAsia="zh-CN"/>
        </w:rPr>
      </w:pPr>
    </w:p>
    <w:p w14:paraId="0070FEC4">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color w:val="auto"/>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32E546-61D4-4341-87C8-A7F98154A2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F60864-6FC0-4745-BC10-FFCBB6BB880D}"/>
  </w:font>
  <w:font w:name="仿宋_GB2312">
    <w:panose1 w:val="02010609030101010101"/>
    <w:charset w:val="86"/>
    <w:family w:val="auto"/>
    <w:pitch w:val="default"/>
    <w:sig w:usb0="00000001" w:usb1="080E0000" w:usb2="00000000" w:usb3="00000000" w:csb0="00040000" w:csb1="00000000"/>
    <w:embedRegular r:id="rId3" w:fontKey="{A95B30E4-AF71-4928-B7FB-E0734A865A3C}"/>
  </w:font>
  <w:font w:name="仿宋">
    <w:panose1 w:val="02010609060101010101"/>
    <w:charset w:val="86"/>
    <w:family w:val="auto"/>
    <w:pitch w:val="default"/>
    <w:sig w:usb0="800002BF" w:usb1="38CF7CFA" w:usb2="00000016" w:usb3="00000000" w:csb0="00040001" w:csb1="00000000"/>
    <w:embedRegular r:id="rId4" w:fontKey="{9379F847-9F72-40DE-AAAC-823020958E96}"/>
  </w:font>
  <w:font w:name="方正小标宋_GBK">
    <w:panose1 w:val="02000000000000000000"/>
    <w:charset w:val="86"/>
    <w:family w:val="script"/>
    <w:pitch w:val="default"/>
    <w:sig w:usb0="A00002BF" w:usb1="38CF7CFA" w:usb2="00082016" w:usb3="00000000" w:csb0="00040001" w:csb1="00000000"/>
    <w:embedRegular r:id="rId5" w:fontKey="{7651F5B7-3C65-4738-A2B4-9EFC29623FF3}"/>
  </w:font>
  <w:font w:name="方正小标宋简体">
    <w:panose1 w:val="03000509000000000000"/>
    <w:charset w:val="86"/>
    <w:family w:val="auto"/>
    <w:pitch w:val="default"/>
    <w:sig w:usb0="00000001" w:usb1="080E0000" w:usb2="00000000" w:usb3="00000000" w:csb0="00040000" w:csb1="00000000"/>
    <w:embedRegular r:id="rId6" w:fontKey="{D1E70806-C2AA-457B-BF94-F078FD86A91B}"/>
  </w:font>
  <w:font w:name="楷体_GB2312">
    <w:panose1 w:val="02010609030101010101"/>
    <w:charset w:val="86"/>
    <w:family w:val="modern"/>
    <w:pitch w:val="default"/>
    <w:sig w:usb0="00000001" w:usb1="080E0000" w:usb2="00000000" w:usb3="00000000" w:csb0="00040000" w:csb1="00000000"/>
    <w:embedRegular r:id="rId7" w:fontKey="{84C26ECF-6C4D-4FDC-90EF-A48DE78EB123}"/>
  </w:font>
  <w:font w:name="方正仿宋_GB2312">
    <w:panose1 w:val="02000000000000000000"/>
    <w:charset w:val="86"/>
    <w:family w:val="auto"/>
    <w:pitch w:val="default"/>
    <w:sig w:usb0="A00002BF" w:usb1="184F6CFA" w:usb2="00000012" w:usb3="00000000" w:csb0="00040001" w:csb1="00000000"/>
    <w:embedRegular r:id="rId8" w:fontKey="{39CF1344-014A-4726-9E1B-CDF1F0BF66B4}"/>
  </w:font>
  <w:font w:name="方正楷体_GB2312">
    <w:panose1 w:val="02000000000000000000"/>
    <w:charset w:val="86"/>
    <w:family w:val="auto"/>
    <w:pitch w:val="default"/>
    <w:sig w:usb0="A00002BF" w:usb1="184F6CFA" w:usb2="00000012" w:usb3="00000000" w:csb0="00040001" w:csb1="00000000"/>
    <w:embedRegular r:id="rId9" w:fontKey="{811E2B13-A714-4AB3-9A0E-1B69DB96BC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73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62B2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B62B2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7A4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F7380"/>
    <w:multiLevelType w:val="singleLevel"/>
    <w:tmpl w:val="8BCF7380"/>
    <w:lvl w:ilvl="0" w:tentative="0">
      <w:start w:val="2"/>
      <w:numFmt w:val="chineseCounting"/>
      <w:suff w:val="nothing"/>
      <w:lvlText w:val="（%1）"/>
      <w:lvlJc w:val="left"/>
      <w:rPr>
        <w:rFonts w:hint="eastAsia"/>
      </w:rPr>
    </w:lvl>
  </w:abstractNum>
  <w:abstractNum w:abstractNumId="1">
    <w:nsid w:val="95C88235"/>
    <w:multiLevelType w:val="singleLevel"/>
    <w:tmpl w:val="95C88235"/>
    <w:lvl w:ilvl="0" w:tentative="0">
      <w:start w:val="4"/>
      <w:numFmt w:val="chineseCounting"/>
      <w:suff w:val="nothing"/>
      <w:lvlText w:val="%1、"/>
      <w:lvlJc w:val="left"/>
      <w:rPr>
        <w:rFonts w:hint="eastAsia"/>
      </w:rPr>
    </w:lvl>
  </w:abstractNum>
  <w:abstractNum w:abstractNumId="2">
    <w:nsid w:val="3C4C82AB"/>
    <w:multiLevelType w:val="singleLevel"/>
    <w:tmpl w:val="3C4C82AB"/>
    <w:lvl w:ilvl="0" w:tentative="0">
      <w:start w:val="1"/>
      <w:numFmt w:val="chineseCounting"/>
      <w:suff w:val="nothing"/>
      <w:lvlText w:val="%1、"/>
      <w:lvlJc w:val="left"/>
      <w:rPr>
        <w:rFonts w:hint="eastAsia"/>
      </w:rPr>
    </w:lvl>
  </w:abstractNum>
  <w:abstractNum w:abstractNumId="3">
    <w:nsid w:val="67E26D23"/>
    <w:multiLevelType w:val="singleLevel"/>
    <w:tmpl w:val="67E26D23"/>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2E3YmI1NjkzYTQxNmRiMTBhODljMmE2ZjRhYWEifQ=="/>
  </w:docVars>
  <w:rsids>
    <w:rsidRoot w:val="4DA475B6"/>
    <w:rsid w:val="015476DB"/>
    <w:rsid w:val="01E21263"/>
    <w:rsid w:val="01F62E48"/>
    <w:rsid w:val="033B6E7D"/>
    <w:rsid w:val="04C64E6C"/>
    <w:rsid w:val="059B6096"/>
    <w:rsid w:val="06A92559"/>
    <w:rsid w:val="07A019A5"/>
    <w:rsid w:val="07C75183"/>
    <w:rsid w:val="082C3238"/>
    <w:rsid w:val="0B0E003D"/>
    <w:rsid w:val="0BAD4690"/>
    <w:rsid w:val="0C006EB6"/>
    <w:rsid w:val="14E86739"/>
    <w:rsid w:val="17917BBC"/>
    <w:rsid w:val="186C7681"/>
    <w:rsid w:val="19EA4D01"/>
    <w:rsid w:val="1A935399"/>
    <w:rsid w:val="1ADC6D40"/>
    <w:rsid w:val="1DDB06DA"/>
    <w:rsid w:val="1EAC07D7"/>
    <w:rsid w:val="1EAF02C7"/>
    <w:rsid w:val="20947C82"/>
    <w:rsid w:val="2453247D"/>
    <w:rsid w:val="246A0F18"/>
    <w:rsid w:val="257B7155"/>
    <w:rsid w:val="2729330D"/>
    <w:rsid w:val="282F4953"/>
    <w:rsid w:val="29824F56"/>
    <w:rsid w:val="2A5E151F"/>
    <w:rsid w:val="2BCA2C69"/>
    <w:rsid w:val="2BE25658"/>
    <w:rsid w:val="2C1520B2"/>
    <w:rsid w:val="2CB7594C"/>
    <w:rsid w:val="2DC01BA9"/>
    <w:rsid w:val="302C5C1C"/>
    <w:rsid w:val="32E12CEE"/>
    <w:rsid w:val="34403A44"/>
    <w:rsid w:val="34456A3C"/>
    <w:rsid w:val="351D3D85"/>
    <w:rsid w:val="35216136"/>
    <w:rsid w:val="39300BF9"/>
    <w:rsid w:val="39696E7A"/>
    <w:rsid w:val="3B974891"/>
    <w:rsid w:val="3BC74A4B"/>
    <w:rsid w:val="3DFC6C2D"/>
    <w:rsid w:val="40BE6E0E"/>
    <w:rsid w:val="40FC4D41"/>
    <w:rsid w:val="41C061C4"/>
    <w:rsid w:val="43811983"/>
    <w:rsid w:val="449851D6"/>
    <w:rsid w:val="464078D3"/>
    <w:rsid w:val="4860425D"/>
    <w:rsid w:val="49724248"/>
    <w:rsid w:val="49E50EBD"/>
    <w:rsid w:val="4DA475B6"/>
    <w:rsid w:val="4FB54E8E"/>
    <w:rsid w:val="518C60C3"/>
    <w:rsid w:val="51BC1787"/>
    <w:rsid w:val="54930A16"/>
    <w:rsid w:val="55214D74"/>
    <w:rsid w:val="58095DD8"/>
    <w:rsid w:val="5A762D60"/>
    <w:rsid w:val="5BED3C02"/>
    <w:rsid w:val="5E421FE3"/>
    <w:rsid w:val="615C785F"/>
    <w:rsid w:val="61E0223F"/>
    <w:rsid w:val="61E17D65"/>
    <w:rsid w:val="63093E31"/>
    <w:rsid w:val="63660521"/>
    <w:rsid w:val="63B23767"/>
    <w:rsid w:val="64547F2D"/>
    <w:rsid w:val="67002A3B"/>
    <w:rsid w:val="69117181"/>
    <w:rsid w:val="6BCC3624"/>
    <w:rsid w:val="6C6677E4"/>
    <w:rsid w:val="6DC321E4"/>
    <w:rsid w:val="6DCF13B9"/>
    <w:rsid w:val="71594B6E"/>
    <w:rsid w:val="725400DF"/>
    <w:rsid w:val="732B0E40"/>
    <w:rsid w:val="73483525"/>
    <w:rsid w:val="75232716"/>
    <w:rsid w:val="76FB306A"/>
    <w:rsid w:val="775D17E4"/>
    <w:rsid w:val="77B87AD6"/>
    <w:rsid w:val="78D37FAF"/>
    <w:rsid w:val="79EA0B80"/>
    <w:rsid w:val="7B76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unhideWhenUsed/>
    <w:qFormat/>
    <w:uiPriority w:val="99"/>
    <w:pPr>
      <w:ind w:firstLine="420" w:firstLineChars="100"/>
    </w:p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5255</Words>
  <Characters>5539</Characters>
  <Lines>0</Lines>
  <Paragraphs>0</Paragraphs>
  <TotalTime>32</TotalTime>
  <ScaleCrop>false</ScaleCrop>
  <LinksUpToDate>false</LinksUpToDate>
  <CharactersWithSpaces>5548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2024-06-21T07:02:00Z</dcterms:created>
  <dc:creator>Administrator</dc:creator>
  <cp:lastModifiedBy>初心</cp:lastModifiedBy>
  <cp:lastPrinted>2024-06-24T07:15:00Z</cp:lastPrinted>
  <dcterms:modified xsi:type="dcterms:W3CDTF">2024-07-03T07:06:32Z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480540E5E2B44B99BB3F71E174D0F337_13</vt:lpwstr>
  </property>
</Properties>
</file>