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Lines="0" w:line="360" w:lineRule="auto"/>
        <w:jc w:val="both"/>
        <w:textAlignment w:val="auto"/>
        <w:rPr>
          <w:rFonts w:hint="eastAsia" w:ascii="黑体" w:hAnsi="黑体" w:eastAsia="黑体" w:cs="黑体"/>
          <w:sz w:val="32"/>
          <w:szCs w:val="32"/>
          <w:highlight w:val="none"/>
          <w:lang w:eastAsia="zh-CN"/>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202</w:t>
      </w:r>
      <w:r>
        <w:rPr>
          <w:rFonts w:hint="eastAsia" w:asciiTheme="majorEastAsia" w:hAnsiTheme="majorEastAsia" w:eastAsiaTheme="majorEastAsia" w:cstheme="majorEastAsia"/>
          <w:b/>
          <w:bCs/>
          <w:sz w:val="44"/>
          <w:szCs w:val="44"/>
          <w:lang w:val="en-US" w:eastAsia="zh-CN"/>
        </w:rPr>
        <w:t>3</w:t>
      </w:r>
      <w:r>
        <w:rPr>
          <w:rFonts w:hint="eastAsia" w:asciiTheme="majorEastAsia" w:hAnsiTheme="majorEastAsia" w:eastAsiaTheme="majorEastAsia" w:cstheme="majorEastAsia"/>
          <w:b/>
          <w:bCs/>
          <w:sz w:val="44"/>
          <w:szCs w:val="44"/>
        </w:rPr>
        <w:t>年度</w:t>
      </w:r>
      <w:r>
        <w:rPr>
          <w:rFonts w:hint="eastAsia" w:asciiTheme="majorEastAsia" w:hAnsiTheme="majorEastAsia" w:eastAsiaTheme="majorEastAsia" w:cstheme="majorEastAsia"/>
          <w:b/>
          <w:bCs/>
          <w:color w:val="000000"/>
          <w:sz w:val="44"/>
          <w:szCs w:val="44"/>
        </w:rPr>
        <w:t>岳阳市城市管理综合行政执法支队</w:t>
      </w:r>
      <w:r>
        <w:rPr>
          <w:rFonts w:hint="eastAsia" w:asciiTheme="majorEastAsia" w:hAnsiTheme="majorEastAsia" w:eastAsiaTheme="majorEastAsia" w:cstheme="majorEastAsia"/>
          <w:b/>
          <w:bCs/>
          <w:sz w:val="44"/>
          <w:szCs w:val="44"/>
        </w:rPr>
        <w:t>整体支出绩效自评报告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44"/>
          <w:szCs w:val="44"/>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both"/>
        <w:rPr>
          <w:rFonts w:hint="default" w:ascii="Times New Roman" w:hAnsi="Times New Roman" w:eastAsia="黑体" w:cs="Times New Roman"/>
          <w:sz w:val="32"/>
          <w:szCs w:val="32"/>
        </w:rPr>
      </w:pPr>
    </w:p>
    <w:p>
      <w:pPr>
        <w:spacing w:line="600" w:lineRule="exact"/>
        <w:jc w:val="center"/>
        <w:rPr>
          <w:rFonts w:hint="eastAsia" w:asciiTheme="majorEastAsia" w:hAnsiTheme="majorEastAsia" w:eastAsiaTheme="majorEastAsia" w:cstheme="majorEastAsia"/>
          <w:b/>
          <w:bCs/>
          <w:sz w:val="32"/>
          <w:szCs w:val="32"/>
          <w:u w:val="single"/>
        </w:rPr>
      </w:pPr>
      <w:r>
        <w:rPr>
          <w:rFonts w:hint="eastAsia" w:asciiTheme="majorEastAsia" w:hAnsiTheme="majorEastAsia" w:eastAsiaTheme="majorEastAsia" w:cstheme="majorEastAsia"/>
          <w:b/>
          <w:bCs/>
          <w:sz w:val="32"/>
          <w:szCs w:val="32"/>
        </w:rPr>
        <w:t>单位名称：</w:t>
      </w:r>
      <w:r>
        <w:rPr>
          <w:rFonts w:hint="eastAsia" w:asciiTheme="majorEastAsia" w:hAnsiTheme="majorEastAsia" w:eastAsiaTheme="majorEastAsia" w:cstheme="majorEastAsia"/>
          <w:b/>
          <w:bCs/>
          <w:color w:val="000000"/>
          <w:sz w:val="32"/>
          <w:szCs w:val="32"/>
          <w:u w:val="single"/>
        </w:rPr>
        <w:t>岳阳市城市管理综合行政执法支队</w:t>
      </w:r>
    </w:p>
    <w:p>
      <w:pPr>
        <w:spacing w:line="600" w:lineRule="exact"/>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val="en-US" w:eastAsia="zh-CN"/>
        </w:rPr>
        <w:t>2024</w:t>
      </w:r>
      <w:r>
        <w:rPr>
          <w:rFonts w:hint="eastAsia" w:asciiTheme="majorEastAsia" w:hAnsiTheme="majorEastAsia" w:eastAsiaTheme="majorEastAsia" w:cstheme="majorEastAsia"/>
          <w:b/>
          <w:bCs/>
          <w:sz w:val="32"/>
          <w:szCs w:val="32"/>
        </w:rPr>
        <w:t>年</w:t>
      </w:r>
      <w:r>
        <w:rPr>
          <w:rFonts w:hint="eastAsia" w:asciiTheme="majorEastAsia" w:hAnsiTheme="majorEastAsia" w:eastAsiaTheme="majorEastAsia" w:cstheme="majorEastAsia"/>
          <w:b/>
          <w:bCs/>
          <w:sz w:val="32"/>
          <w:szCs w:val="32"/>
          <w:lang w:val="en-US" w:eastAsia="zh-CN"/>
        </w:rPr>
        <w:t>6</w:t>
      </w:r>
      <w:r>
        <w:rPr>
          <w:rFonts w:hint="eastAsia" w:asciiTheme="majorEastAsia" w:hAnsiTheme="majorEastAsia" w:eastAsiaTheme="majorEastAsia" w:cstheme="majorEastAsia"/>
          <w:b/>
          <w:bCs/>
          <w:sz w:val="32"/>
          <w:szCs w:val="32"/>
        </w:rPr>
        <w:t>月</w:t>
      </w:r>
      <w:r>
        <w:rPr>
          <w:rFonts w:hint="eastAsia" w:asciiTheme="majorEastAsia" w:hAnsiTheme="majorEastAsia" w:eastAsiaTheme="majorEastAsia" w:cstheme="majorEastAsia"/>
          <w:b/>
          <w:bCs/>
          <w:sz w:val="32"/>
          <w:szCs w:val="32"/>
          <w:lang w:val="en-US" w:eastAsia="zh-CN"/>
        </w:rPr>
        <w:t>22</w:t>
      </w:r>
      <w:r>
        <w:rPr>
          <w:rFonts w:hint="eastAsia" w:asciiTheme="majorEastAsia" w:hAnsiTheme="majorEastAsia" w:eastAsiaTheme="majorEastAsia" w:cstheme="majorEastAsia"/>
          <w:b/>
          <w:bCs/>
          <w:sz w:val="32"/>
          <w:szCs w:val="32"/>
        </w:rPr>
        <w:t>日</w:t>
      </w: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sectPr>
          <w:pgSz w:w="11906" w:h="16838"/>
          <w:pgMar w:top="1440" w:right="1689" w:bottom="1440" w:left="1746" w:header="851" w:footer="992" w:gutter="0"/>
          <w:cols w:space="425" w:num="1"/>
          <w:docGrid w:type="lines" w:linePitch="312" w:charSpace="0"/>
        </w:sectPr>
      </w:pPr>
    </w:p>
    <w:p>
      <w:pPr>
        <w:jc w:val="center"/>
        <w:rPr>
          <w:rFonts w:hint="default" w:ascii="Times New Roman" w:hAnsi="Times New Roman" w:eastAsia="仿宋_GB2312" w:cs="Times New Roman"/>
          <w:sz w:val="32"/>
          <w:szCs w:val="32"/>
        </w:rPr>
      </w:pPr>
    </w:p>
    <w:p>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color w:val="000000"/>
          <w:sz w:val="44"/>
          <w:szCs w:val="44"/>
        </w:rPr>
        <w:t>岳阳市城市管理综合行政执法支队</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整体支出绩效自评报告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单位基本情况</w:t>
      </w:r>
    </w:p>
    <w:p>
      <w:pPr>
        <w:keepNext w:val="0"/>
        <w:keepLines w:val="0"/>
        <w:pageBreakBefore w:val="0"/>
        <w:widowControl/>
        <w:kinsoku/>
        <w:wordWrap/>
        <w:overflowPunct/>
        <w:topLinePunct w:val="0"/>
        <w:bidi w:val="0"/>
        <w:adjustRightInd/>
        <w:snapToGrid/>
        <w:spacing w:line="600" w:lineRule="exact"/>
        <w:ind w:firstLine="642" w:firstLineChars="200"/>
        <w:jc w:val="left"/>
        <w:textAlignment w:val="auto"/>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（一）职能职责</w:t>
      </w:r>
    </w:p>
    <w:p>
      <w:pPr>
        <w:keepNext w:val="0"/>
        <w:keepLines w:val="0"/>
        <w:pageBreakBefore w:val="0"/>
        <w:wordWrap/>
        <w:overflowPunct/>
        <w:topLinePunct w:val="0"/>
        <w:bidi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岳阳市城</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管</w:t>
      </w:r>
      <w:r>
        <w:rPr>
          <w:rFonts w:hint="eastAsia" w:ascii="仿宋_GB2312" w:hAnsi="仿宋_GB2312" w:eastAsia="仿宋_GB2312" w:cs="仿宋_GB2312"/>
          <w:color w:val="000000"/>
          <w:sz w:val="32"/>
          <w:szCs w:val="32"/>
          <w:lang w:eastAsia="zh-CN"/>
        </w:rPr>
        <w:t>理</w:t>
      </w:r>
      <w:r>
        <w:rPr>
          <w:rFonts w:hint="eastAsia" w:ascii="仿宋_GB2312" w:hAnsi="仿宋_GB2312" w:eastAsia="仿宋_GB2312" w:cs="仿宋_GB2312"/>
          <w:color w:val="000000"/>
          <w:sz w:val="32"/>
          <w:szCs w:val="32"/>
        </w:rPr>
        <w:t>综合行政执法支队以市城管局名义对外开展行政执法活动，在履行职责过程中坚持和加强党对城市管理综合行政执法工作的集中统一领导</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主要职责是：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5" w:line="600" w:lineRule="exact"/>
        <w:ind w:right="11" w:rightChars="0" w:firstLine="676" w:firstLineChars="200"/>
        <w:textAlignment w:val="baseline"/>
        <w:rPr>
          <w:rFonts w:hint="eastAsia" w:ascii="仿宋_GB2312" w:hAnsi="仿宋_GB2312" w:eastAsia="仿宋_GB2312" w:cs="仿宋_GB2312"/>
          <w:spacing w:val="9"/>
          <w:kern w:val="0"/>
          <w:sz w:val="32"/>
          <w:szCs w:val="32"/>
        </w:rPr>
      </w:pPr>
      <w:r>
        <w:rPr>
          <w:rFonts w:hint="eastAsia" w:ascii="仿宋_GB2312" w:hAnsi="仿宋_GB2312" w:eastAsia="仿宋_GB2312" w:cs="仿宋_GB2312"/>
          <w:spacing w:val="9"/>
          <w:kern w:val="0"/>
          <w:sz w:val="32"/>
          <w:szCs w:val="32"/>
          <w:lang w:val="en-US" w:eastAsia="zh-CN"/>
        </w:rPr>
        <w:t>1、</w:t>
      </w:r>
      <w:r>
        <w:rPr>
          <w:rFonts w:hint="eastAsia" w:ascii="仿宋_GB2312" w:hAnsi="仿宋_GB2312" w:eastAsia="仿宋_GB2312" w:cs="仿宋_GB2312"/>
          <w:spacing w:val="9"/>
          <w:kern w:val="0"/>
          <w:sz w:val="32"/>
          <w:szCs w:val="32"/>
        </w:rPr>
        <w:t>贯彻执行国家有关城市管理方面的法律法规规章和政策规定；代拟城市管理综合行政执法工作方面的规范性文件、总体规划和年度计划，并组织实施。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5" w:line="600" w:lineRule="exact"/>
        <w:ind w:right="11" w:rightChars="0" w:firstLine="676" w:firstLineChars="200"/>
        <w:textAlignment w:val="baseline"/>
        <w:rPr>
          <w:rFonts w:hint="eastAsia" w:ascii="仿宋_GB2312" w:hAnsi="仿宋_GB2312" w:eastAsia="仿宋_GB2312" w:cs="仿宋_GB2312"/>
          <w:spacing w:val="9"/>
          <w:kern w:val="0"/>
          <w:sz w:val="32"/>
          <w:szCs w:val="32"/>
        </w:rPr>
      </w:pPr>
      <w:r>
        <w:rPr>
          <w:rFonts w:hint="eastAsia" w:ascii="仿宋_GB2312" w:hAnsi="仿宋_GB2312" w:eastAsia="仿宋_GB2312" w:cs="仿宋_GB2312"/>
          <w:spacing w:val="9"/>
          <w:kern w:val="0"/>
          <w:sz w:val="32"/>
          <w:szCs w:val="32"/>
          <w:lang w:val="en-US" w:eastAsia="zh-CN"/>
        </w:rPr>
        <w:t>2、</w:t>
      </w:r>
      <w:r>
        <w:rPr>
          <w:rFonts w:hint="eastAsia" w:ascii="仿宋_GB2312" w:hAnsi="仿宋_GB2312" w:eastAsia="仿宋_GB2312" w:cs="仿宋_GB2312"/>
          <w:spacing w:val="9"/>
          <w:kern w:val="0"/>
          <w:sz w:val="32"/>
          <w:szCs w:val="32"/>
        </w:rPr>
        <w:t>负责行使市本级管理权限范围内市政公用设施运行管理、市容环境卫生管理、园林绿化管理、城镇燃气管理、禁止燃放烟花爆竹等城市管理方面的行政处罚权及相应的行政强制权。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5" w:line="600" w:lineRule="exact"/>
        <w:ind w:right="11" w:rightChars="0" w:firstLine="676" w:firstLineChars="200"/>
        <w:textAlignment w:val="baseline"/>
        <w:rPr>
          <w:rFonts w:hint="eastAsia" w:ascii="仿宋_GB2312" w:hAnsi="仿宋_GB2312" w:eastAsia="仿宋_GB2312" w:cs="仿宋_GB2312"/>
          <w:spacing w:val="9"/>
          <w:kern w:val="0"/>
          <w:sz w:val="32"/>
          <w:szCs w:val="32"/>
        </w:rPr>
      </w:pPr>
      <w:r>
        <w:rPr>
          <w:rFonts w:hint="eastAsia" w:ascii="仿宋_GB2312" w:hAnsi="仿宋_GB2312" w:eastAsia="仿宋_GB2312" w:cs="仿宋_GB2312"/>
          <w:spacing w:val="9"/>
          <w:kern w:val="0"/>
          <w:sz w:val="32"/>
          <w:szCs w:val="32"/>
          <w:lang w:val="en-US" w:eastAsia="zh-CN"/>
        </w:rPr>
        <w:t>3、</w:t>
      </w:r>
      <w:r>
        <w:rPr>
          <w:rFonts w:hint="eastAsia" w:ascii="仿宋_GB2312" w:hAnsi="仿宋_GB2312" w:eastAsia="仿宋_GB2312" w:cs="仿宋_GB2312"/>
          <w:spacing w:val="9"/>
          <w:kern w:val="0"/>
          <w:sz w:val="32"/>
          <w:szCs w:val="32"/>
        </w:rPr>
        <w:t>负责逐步全面行使市本级管理权限范围内住房和城乡建设领域法律法规规章规定的行政处罚权及相应的行政强制权。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5" w:line="600" w:lineRule="exact"/>
        <w:ind w:right="11" w:rightChars="0" w:firstLine="67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kern w:val="0"/>
          <w:sz w:val="32"/>
          <w:szCs w:val="32"/>
          <w:lang w:val="en-US" w:eastAsia="zh-CN"/>
        </w:rPr>
        <w:t>4、</w:t>
      </w:r>
      <w:r>
        <w:rPr>
          <w:rFonts w:hint="eastAsia" w:ascii="仿宋_GB2312" w:hAnsi="仿宋_GB2312" w:eastAsia="仿宋_GB2312" w:cs="仿宋_GB2312"/>
          <w:spacing w:val="9"/>
          <w:kern w:val="0"/>
          <w:sz w:val="32"/>
          <w:szCs w:val="32"/>
        </w:rPr>
        <w:t>负责行使市本级管理权限范围内向城市河道和水域倾倒废弃物和垃圾及违规取土、城市河道和水域违法建（构）筑物拆除等水利管理方面的行政处罚权及相应的行政强制权。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5" w:line="600" w:lineRule="exact"/>
        <w:ind w:right="11" w:rightChars="0" w:firstLine="67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kern w:val="0"/>
          <w:sz w:val="32"/>
          <w:szCs w:val="32"/>
          <w:lang w:val="en-US" w:eastAsia="zh-CN"/>
        </w:rPr>
        <w:t>5、</w:t>
      </w:r>
      <w:r>
        <w:rPr>
          <w:rFonts w:hint="eastAsia" w:ascii="仿宋_GB2312" w:hAnsi="仿宋_GB2312" w:eastAsia="仿宋_GB2312" w:cs="仿宋_GB2312"/>
          <w:spacing w:val="9"/>
          <w:kern w:val="0"/>
          <w:sz w:val="32"/>
          <w:szCs w:val="32"/>
        </w:rPr>
        <w:t>负责行使市本级管理权限范围内社会生活噪声污染、建筑施工噪声污染、建筑施工扬尘污染、餐饮服务业油烟污染、露天烧烤污染、城市焚烧沥青塑料垃圾等烟尘和恶臭污染、露天焚烧秸秆落叶等烟尘污染、燃放烟花爆竹污染等生态环境保护管理方面的行政处罚权及相应的行政强制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5" w:line="600" w:lineRule="exact"/>
        <w:ind w:right="11" w:rightChars="0" w:firstLine="67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kern w:val="0"/>
          <w:sz w:val="32"/>
          <w:szCs w:val="32"/>
          <w:lang w:val="en-US" w:eastAsia="zh-CN"/>
        </w:rPr>
        <w:t>6、</w:t>
      </w:r>
      <w:r>
        <w:rPr>
          <w:rFonts w:hint="eastAsia" w:ascii="仿宋_GB2312" w:hAnsi="仿宋_GB2312" w:eastAsia="仿宋_GB2312" w:cs="仿宋_GB2312"/>
          <w:spacing w:val="9"/>
          <w:kern w:val="0"/>
          <w:sz w:val="32"/>
          <w:szCs w:val="32"/>
        </w:rPr>
        <w:t>负责行使市本级管理权限范围内户外公共场所无照经营、食品销售和餐饮摊点无证经营，以及户外违法回收贩卖药品、违规设置户外广告等市场监督管理方面的行政处罚权及相应的行政强制权。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5" w:line="600" w:lineRule="exact"/>
        <w:ind w:right="11" w:rightChars="0" w:firstLine="67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kern w:val="0"/>
          <w:sz w:val="32"/>
          <w:szCs w:val="32"/>
          <w:lang w:val="en-US" w:eastAsia="zh-CN"/>
        </w:rPr>
        <w:t>7、</w:t>
      </w:r>
      <w:r>
        <w:rPr>
          <w:rFonts w:hint="eastAsia" w:ascii="仿宋_GB2312" w:hAnsi="仿宋_GB2312" w:eastAsia="仿宋_GB2312" w:cs="仿宋_GB2312"/>
          <w:spacing w:val="9"/>
          <w:kern w:val="0"/>
          <w:sz w:val="32"/>
          <w:szCs w:val="32"/>
        </w:rPr>
        <w:t>负责行使市本级管理权限范围内侵占城市道路、违法停放车辆等公安交通管理方面的行政处罚权及相应的行政强制权。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5" w:line="600" w:lineRule="exact"/>
        <w:ind w:right="11" w:rightChars="0" w:firstLine="67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kern w:val="0"/>
          <w:sz w:val="32"/>
          <w:szCs w:val="32"/>
          <w:lang w:val="en-US" w:eastAsia="zh-CN"/>
        </w:rPr>
        <w:t>8、</w:t>
      </w:r>
      <w:r>
        <w:rPr>
          <w:rFonts w:hint="eastAsia" w:ascii="仿宋_GB2312" w:hAnsi="仿宋_GB2312" w:eastAsia="仿宋_GB2312" w:cs="仿宋_GB2312"/>
          <w:spacing w:val="9"/>
          <w:kern w:val="0"/>
          <w:sz w:val="32"/>
          <w:szCs w:val="32"/>
        </w:rPr>
        <w:t>负责行使《湖南省人民政府关于调整岳阳火车站地区相对集中行政处罚权工作的批复》（湘政函〔2016〕22号）确定的行政处罚权及相应的行政强制权。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5" w:line="600" w:lineRule="exact"/>
        <w:ind w:right="11" w:rightChars="0" w:firstLine="67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kern w:val="0"/>
          <w:sz w:val="32"/>
          <w:szCs w:val="32"/>
          <w:lang w:val="en-US" w:eastAsia="zh-CN"/>
        </w:rPr>
        <w:t>9、</w:t>
      </w:r>
      <w:r>
        <w:rPr>
          <w:rFonts w:hint="eastAsia" w:ascii="仿宋_GB2312" w:hAnsi="仿宋_GB2312" w:eastAsia="仿宋_GB2312" w:cs="仿宋_GB2312"/>
          <w:spacing w:val="9"/>
          <w:kern w:val="0"/>
          <w:sz w:val="32"/>
          <w:szCs w:val="32"/>
        </w:rPr>
        <w:t>负责全市城市管理综合行政执法跨区域及重大复杂违法违规案件的查处。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5" w:line="600" w:lineRule="exact"/>
        <w:ind w:right="11" w:rightChars="0" w:firstLine="67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kern w:val="0"/>
          <w:sz w:val="32"/>
          <w:szCs w:val="32"/>
          <w:lang w:val="en-US" w:eastAsia="zh-CN"/>
        </w:rPr>
        <w:t>10、</w:t>
      </w:r>
      <w:r>
        <w:rPr>
          <w:rFonts w:hint="eastAsia" w:ascii="仿宋_GB2312" w:hAnsi="仿宋_GB2312" w:eastAsia="仿宋_GB2312" w:cs="仿宋_GB2312"/>
          <w:spacing w:val="9"/>
          <w:kern w:val="0"/>
          <w:sz w:val="32"/>
          <w:szCs w:val="32"/>
        </w:rPr>
        <w:t>负责市本级管理权限范围内“牛皮癣”的治理和清除；负责市本级管理权限范围内“门前三包”及岳阳楼区、云溪区、君山区、岳阳经济技术开发区、城陵矶新港区、南湖新区燃放烟花爆竹的指导、监督、考核工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5" w:line="600" w:lineRule="exact"/>
        <w:ind w:right="11" w:rightChars="0" w:firstLine="67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kern w:val="0"/>
          <w:sz w:val="32"/>
          <w:szCs w:val="32"/>
          <w:lang w:val="en-US" w:eastAsia="zh-CN"/>
        </w:rPr>
        <w:t>11、</w:t>
      </w:r>
      <w:r>
        <w:rPr>
          <w:rFonts w:hint="eastAsia" w:ascii="仿宋_GB2312" w:hAnsi="仿宋_GB2312" w:eastAsia="仿宋_GB2312" w:cs="仿宋_GB2312"/>
          <w:spacing w:val="9"/>
          <w:kern w:val="0"/>
          <w:sz w:val="32"/>
          <w:szCs w:val="32"/>
        </w:rPr>
        <w:t>完成市委、市政府和市城管局交办的其他任务。</w:t>
      </w:r>
    </w:p>
    <w:p>
      <w:pPr>
        <w:keepNext w:val="0"/>
        <w:keepLines w:val="0"/>
        <w:pageBreakBefore w:val="0"/>
        <w:widowControl/>
        <w:kinsoku/>
        <w:wordWrap/>
        <w:overflowPunct/>
        <w:topLinePunct w:val="0"/>
        <w:bidi w:val="0"/>
        <w:adjustRightInd/>
        <w:snapToGrid/>
        <w:spacing w:line="600" w:lineRule="exact"/>
        <w:ind w:firstLine="642" w:firstLineChars="200"/>
        <w:textAlignment w:val="auto"/>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（二）机构设置</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leftChars="0" w:right="0" w:firstLine="676" w:firstLineChars="200"/>
        <w:jc w:val="both"/>
        <w:textAlignment w:val="baseline"/>
        <w:rPr>
          <w:rFonts w:hint="eastAsia" w:ascii="仿宋_GB2312" w:hAnsi="仿宋_GB2312" w:eastAsia="仿宋_GB2312" w:cs="仿宋_GB2312"/>
          <w:spacing w:val="9"/>
          <w:kern w:val="0"/>
          <w:sz w:val="32"/>
          <w:szCs w:val="32"/>
        </w:rPr>
      </w:pPr>
      <w:r>
        <w:rPr>
          <w:rFonts w:hint="eastAsia" w:ascii="仿宋_GB2312" w:hAnsi="仿宋_GB2312" w:eastAsia="仿宋_GB2312" w:cs="仿宋_GB2312"/>
          <w:spacing w:val="9"/>
          <w:kern w:val="0"/>
          <w:sz w:val="32"/>
          <w:szCs w:val="32"/>
        </w:rPr>
        <w:t>市城管综合执法支队为市城管局直属参公事业单位，核定编制1</w:t>
      </w:r>
      <w:r>
        <w:rPr>
          <w:rFonts w:hint="eastAsia" w:ascii="仿宋_GB2312" w:hAnsi="仿宋_GB2312" w:eastAsia="仿宋_GB2312" w:cs="仿宋_GB2312"/>
          <w:spacing w:val="9"/>
          <w:kern w:val="0"/>
          <w:sz w:val="32"/>
          <w:szCs w:val="32"/>
          <w:lang w:val="en-US" w:eastAsia="zh-CN"/>
        </w:rPr>
        <w:t>95人</w:t>
      </w:r>
      <w:r>
        <w:rPr>
          <w:rFonts w:hint="eastAsia" w:ascii="仿宋_GB2312" w:hAnsi="仿宋_GB2312" w:eastAsia="仿宋_GB2312" w:cs="仿宋_GB2312"/>
          <w:spacing w:val="9"/>
          <w:kern w:val="0"/>
          <w:sz w:val="32"/>
          <w:szCs w:val="32"/>
        </w:rPr>
        <w:t>。支队长1名，党委专职副书记1名，副支队长4名</w:t>
      </w:r>
      <w:r>
        <w:rPr>
          <w:rFonts w:hint="eastAsia" w:ascii="仿宋_GB2312" w:hAnsi="仿宋_GB2312" w:eastAsia="仿宋_GB2312" w:cs="仿宋_GB2312"/>
          <w:spacing w:val="9"/>
          <w:kern w:val="0"/>
          <w:sz w:val="32"/>
          <w:szCs w:val="32"/>
          <w:lang w:val="en-US" w:eastAsia="zh-CN"/>
        </w:rPr>
        <w:t>;</w:t>
      </w:r>
      <w:r>
        <w:rPr>
          <w:rFonts w:hint="eastAsia" w:ascii="仿宋_GB2312" w:hAnsi="仿宋_GB2312" w:eastAsia="仿宋_GB2312" w:cs="仿宋_GB2312"/>
          <w:spacing w:val="9"/>
          <w:kern w:val="0"/>
          <w:sz w:val="32"/>
          <w:szCs w:val="32"/>
        </w:rPr>
        <w:t>内设机构副科级领导职数7名（含党委办公室主任、离退休人员管理科科长各1名）</w:t>
      </w:r>
      <w:r>
        <w:rPr>
          <w:rFonts w:hint="eastAsia" w:ascii="仿宋_GB2312" w:hAnsi="仿宋_GB2312" w:eastAsia="仿宋_GB2312" w:cs="仿宋_GB2312"/>
          <w:spacing w:val="9"/>
          <w:kern w:val="0"/>
          <w:sz w:val="32"/>
          <w:szCs w:val="32"/>
          <w:lang w:val="en-US" w:eastAsia="zh-CN"/>
        </w:rPr>
        <w:t>;</w:t>
      </w:r>
      <w:r>
        <w:rPr>
          <w:rFonts w:hint="eastAsia" w:ascii="仿宋_GB2312" w:hAnsi="仿宋_GB2312" w:eastAsia="仿宋_GB2312" w:cs="仿宋_GB2312"/>
          <w:spacing w:val="9"/>
          <w:kern w:val="0"/>
          <w:sz w:val="32"/>
          <w:szCs w:val="32"/>
        </w:rPr>
        <w:t>直属机构正科级领导职数8名，副科级领导职数24名。支队内设机构5个：办公室、人事科、计划财务审计科、法规科、安全信访科。党委办公室按章程设置</w:t>
      </w:r>
      <w:r>
        <w:rPr>
          <w:rFonts w:hint="eastAsia" w:ascii="仿宋_GB2312" w:hAnsi="仿宋_GB2312" w:eastAsia="仿宋_GB2312" w:cs="仿宋_GB2312"/>
          <w:spacing w:val="9"/>
          <w:kern w:val="0"/>
          <w:sz w:val="32"/>
          <w:szCs w:val="32"/>
          <w:lang w:val="en-US" w:eastAsia="zh-CN"/>
        </w:rPr>
        <w:t>,</w:t>
      </w:r>
      <w:r>
        <w:rPr>
          <w:rFonts w:hint="eastAsia" w:ascii="仿宋_GB2312" w:hAnsi="仿宋_GB2312" w:eastAsia="仿宋_GB2312" w:cs="仿宋_GB2312"/>
          <w:spacing w:val="9"/>
          <w:kern w:val="0"/>
          <w:sz w:val="32"/>
          <w:szCs w:val="32"/>
        </w:rPr>
        <w:t>离退休人员管理服务科按有关规定设置。直属机构8个：建设工程执法大队、房地产执法大队、城镇燃气执法大队、广告和园林执法大队、固体废物处置执法大队、市政公用设施执法大队、行政处罚大队、火车站地区综合执法大队（岳阳火车站地区管理办公室）。</w:t>
      </w:r>
    </w:p>
    <w:p>
      <w:pPr>
        <w:pStyle w:val="10"/>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二、一般公共预算支出情况</w:t>
      </w:r>
    </w:p>
    <w:p>
      <w:pPr>
        <w:pStyle w:val="10"/>
        <w:keepNext w:val="0"/>
        <w:keepLines w:val="0"/>
        <w:pageBreakBefore w:val="0"/>
        <w:widowControl/>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（一）基本支出情况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23</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,支队</w:t>
      </w:r>
      <w:r>
        <w:rPr>
          <w:rFonts w:hint="eastAsia" w:ascii="仿宋_GB2312" w:hAnsi="仿宋_GB2312" w:eastAsia="仿宋_GB2312" w:cs="仿宋_GB2312"/>
          <w:bCs/>
          <w:sz w:val="32"/>
          <w:szCs w:val="32"/>
        </w:rPr>
        <w:t>基本支出</w:t>
      </w:r>
      <w:r>
        <w:rPr>
          <w:rFonts w:hint="eastAsia" w:ascii="仿宋_GB2312" w:hAnsi="仿宋_GB2312" w:eastAsia="仿宋_GB2312" w:cs="仿宋_GB2312"/>
          <w:bCs/>
          <w:sz w:val="32"/>
          <w:szCs w:val="32"/>
          <w:lang w:val="en-US" w:eastAsia="zh-CN"/>
        </w:rPr>
        <w:t>总额为1582.44</w:t>
      </w:r>
      <w:r>
        <w:rPr>
          <w:rFonts w:hint="eastAsia" w:ascii="仿宋_GB2312" w:hAnsi="仿宋_GB2312" w:eastAsia="仿宋_GB2312" w:cs="仿宋_GB2312"/>
          <w:bCs/>
          <w:sz w:val="32"/>
          <w:szCs w:val="32"/>
        </w:rPr>
        <w:t>万元，其中人员经费支出</w:t>
      </w:r>
      <w:r>
        <w:rPr>
          <w:rFonts w:hint="eastAsia" w:ascii="仿宋_GB2312" w:hAnsi="仿宋_GB2312" w:eastAsia="仿宋_GB2312" w:cs="仿宋_GB2312"/>
          <w:bCs/>
          <w:sz w:val="32"/>
          <w:szCs w:val="32"/>
          <w:lang w:val="en-US" w:eastAsia="zh-CN"/>
        </w:rPr>
        <w:t>1382.61</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主要用于</w:t>
      </w:r>
      <w:r>
        <w:rPr>
          <w:rFonts w:hint="eastAsia" w:ascii="仿宋_GB2312" w:hAnsi="仿宋_GB2312" w:eastAsia="仿宋_GB2312" w:cs="仿宋_GB2312"/>
          <w:bCs/>
          <w:sz w:val="32"/>
          <w:szCs w:val="32"/>
          <w:highlight w:val="none"/>
          <w:lang w:val="en-US" w:eastAsia="zh-CN"/>
        </w:rPr>
        <w:t>职工工资、津补贴、绩效工资及社</w:t>
      </w:r>
      <w:r>
        <w:rPr>
          <w:rFonts w:hint="eastAsia" w:ascii="仿宋_GB2312" w:hAnsi="仿宋_GB2312" w:eastAsia="仿宋_GB2312" w:cs="仿宋_GB2312"/>
          <w:bCs/>
          <w:strike w:val="0"/>
          <w:dstrike w:val="0"/>
          <w:color w:val="auto"/>
          <w:sz w:val="32"/>
          <w:szCs w:val="32"/>
          <w:highlight w:val="none"/>
          <w:lang w:val="en-US" w:eastAsia="zh-CN"/>
        </w:rPr>
        <w:t>保</w:t>
      </w:r>
      <w:r>
        <w:rPr>
          <w:rFonts w:hint="eastAsia" w:ascii="仿宋_GB2312" w:hAnsi="仿宋_GB2312" w:eastAsia="仿宋_GB2312" w:cs="仿宋_GB2312"/>
          <w:bCs/>
          <w:sz w:val="32"/>
          <w:szCs w:val="32"/>
          <w:highlight w:val="none"/>
          <w:lang w:val="en-US" w:eastAsia="zh-CN"/>
        </w:rPr>
        <w:t>缴费等支出。</w:t>
      </w:r>
      <w:r>
        <w:rPr>
          <w:rFonts w:hint="eastAsia" w:ascii="仿宋_GB2312" w:hAnsi="仿宋_GB2312" w:eastAsia="仿宋_GB2312" w:cs="仿宋_GB2312"/>
          <w:bCs/>
          <w:sz w:val="32"/>
          <w:szCs w:val="32"/>
        </w:rPr>
        <w:t>公用</w:t>
      </w:r>
      <w:r>
        <w:rPr>
          <w:rFonts w:hint="eastAsia" w:ascii="仿宋_GB2312" w:hAnsi="仿宋_GB2312" w:eastAsia="仿宋_GB2312" w:cs="仿宋_GB2312"/>
          <w:bCs/>
          <w:sz w:val="32"/>
          <w:szCs w:val="32"/>
          <w:lang w:val="en-US" w:eastAsia="zh-CN"/>
        </w:rPr>
        <w:t>经费</w:t>
      </w:r>
      <w:r>
        <w:rPr>
          <w:rFonts w:hint="eastAsia" w:ascii="仿宋_GB2312" w:hAnsi="仿宋_GB2312" w:eastAsia="仿宋_GB2312" w:cs="仿宋_GB2312"/>
          <w:bCs/>
          <w:sz w:val="32"/>
          <w:szCs w:val="32"/>
        </w:rPr>
        <w:t>支出</w:t>
      </w:r>
      <w:r>
        <w:rPr>
          <w:rFonts w:hint="eastAsia" w:ascii="仿宋_GB2312" w:hAnsi="仿宋_GB2312" w:eastAsia="仿宋_GB2312" w:cs="仿宋_GB2312"/>
          <w:bCs/>
          <w:sz w:val="32"/>
          <w:szCs w:val="32"/>
          <w:lang w:val="en-US" w:eastAsia="zh-CN"/>
        </w:rPr>
        <w:t>199.83</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主要用于办公费、印刷费、水电费、邮电费、取暖费、物业费、差旅费、维修（护）费、租赁费、会议费、培训费、公务接待费、劳务费、委托业务费、工会经费、公务用车运行费、其他交通费用、其他商品和服务支出等单位运转费用支出。</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楷体_GB2312" w:cs="Times New Roman"/>
          <w:b/>
          <w:color w:val="auto"/>
          <w:sz w:val="32"/>
          <w:szCs w:val="32"/>
        </w:rPr>
      </w:pPr>
      <w:r>
        <w:rPr>
          <w:rFonts w:hint="eastAsia" w:ascii="仿宋_GB2312" w:hAnsi="仿宋_GB2312" w:eastAsia="仿宋_GB2312" w:cs="仿宋_GB2312"/>
          <w:bCs/>
          <w:color w:val="auto"/>
          <w:sz w:val="32"/>
          <w:szCs w:val="32"/>
        </w:rPr>
        <w:t>本年度公务接待费</w:t>
      </w:r>
      <w:r>
        <w:rPr>
          <w:rFonts w:hint="eastAsia" w:ascii="仿宋_GB2312" w:hAnsi="仿宋_GB2312" w:eastAsia="仿宋_GB2312" w:cs="仿宋_GB2312"/>
          <w:bCs/>
          <w:color w:val="auto"/>
          <w:sz w:val="32"/>
          <w:szCs w:val="32"/>
          <w:lang w:eastAsia="zh-CN"/>
        </w:rPr>
        <w:t>预算</w:t>
      </w:r>
      <w:r>
        <w:rPr>
          <w:rFonts w:hint="eastAsia" w:ascii="仿宋_GB2312" w:hAnsi="仿宋_GB2312" w:eastAsia="仿宋_GB2312" w:cs="仿宋_GB2312"/>
          <w:bCs/>
          <w:color w:val="auto"/>
          <w:sz w:val="32"/>
          <w:szCs w:val="32"/>
          <w:lang w:val="en-US" w:eastAsia="zh-CN"/>
        </w:rPr>
        <w:t>1.00万元，实际</w:t>
      </w:r>
      <w:r>
        <w:rPr>
          <w:rFonts w:hint="eastAsia" w:ascii="仿宋_GB2312" w:hAnsi="仿宋_GB2312" w:eastAsia="仿宋_GB2312" w:cs="仿宋_GB2312"/>
          <w:bCs/>
          <w:color w:val="auto"/>
          <w:sz w:val="32"/>
          <w:szCs w:val="32"/>
        </w:rPr>
        <w:t>支出</w:t>
      </w:r>
      <w:r>
        <w:rPr>
          <w:rFonts w:hint="eastAsia" w:ascii="仿宋_GB2312" w:hAnsi="仿宋_GB2312" w:eastAsia="仿宋_GB2312" w:cs="仿宋_GB2312"/>
          <w:bCs/>
          <w:color w:val="auto"/>
          <w:sz w:val="32"/>
          <w:szCs w:val="32"/>
          <w:lang w:val="en-US" w:eastAsia="zh-CN"/>
        </w:rPr>
        <w:t>0</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bCs/>
          <w:color w:val="auto"/>
          <w:sz w:val="32"/>
          <w:szCs w:val="32"/>
          <w:lang w:val="en-US" w:eastAsia="zh-CN"/>
        </w:rPr>
        <w:t>公务用车购置及</w:t>
      </w:r>
      <w:r>
        <w:rPr>
          <w:rFonts w:hint="eastAsia" w:ascii="仿宋_GB2312" w:hAnsi="仿宋_GB2312" w:eastAsia="仿宋_GB2312" w:cs="仿宋_GB2312"/>
          <w:bCs/>
          <w:color w:val="auto"/>
          <w:sz w:val="32"/>
          <w:szCs w:val="32"/>
        </w:rPr>
        <w:t>公务用车运行维护费支出</w:t>
      </w:r>
      <w:r>
        <w:rPr>
          <w:rFonts w:hint="eastAsia" w:ascii="仿宋_GB2312" w:hAnsi="仿宋_GB2312" w:eastAsia="仿宋_GB2312" w:cs="仿宋_GB2312"/>
          <w:bCs/>
          <w:color w:val="auto"/>
          <w:sz w:val="32"/>
          <w:szCs w:val="32"/>
          <w:lang w:eastAsia="zh-CN"/>
        </w:rPr>
        <w:t>预算</w:t>
      </w:r>
      <w:r>
        <w:rPr>
          <w:rFonts w:hint="eastAsia" w:ascii="仿宋_GB2312" w:hAnsi="仿宋_GB2312" w:eastAsia="仿宋_GB2312" w:cs="仿宋_GB2312"/>
          <w:bCs/>
          <w:color w:val="auto"/>
          <w:sz w:val="32"/>
          <w:szCs w:val="32"/>
          <w:lang w:val="en-US" w:eastAsia="zh-CN"/>
        </w:rPr>
        <w:t>36.00万元（其中公务用车购置预算0万元），公务用车购置及</w:t>
      </w:r>
      <w:r>
        <w:rPr>
          <w:rFonts w:hint="eastAsia" w:ascii="仿宋_GB2312" w:hAnsi="仿宋_GB2312" w:eastAsia="仿宋_GB2312" w:cs="仿宋_GB2312"/>
          <w:bCs/>
          <w:color w:val="auto"/>
          <w:sz w:val="32"/>
          <w:szCs w:val="32"/>
        </w:rPr>
        <w:t>公务用车运行维护费</w:t>
      </w:r>
      <w:r>
        <w:rPr>
          <w:rFonts w:hint="eastAsia" w:ascii="仿宋_GB2312" w:hAnsi="仿宋_GB2312" w:eastAsia="仿宋_GB2312" w:cs="仿宋_GB2312"/>
          <w:bCs/>
          <w:color w:val="auto"/>
          <w:sz w:val="32"/>
          <w:szCs w:val="32"/>
          <w:lang w:val="en-US" w:eastAsia="zh-CN"/>
        </w:rPr>
        <w:t>实际支出17.86</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bCs/>
          <w:color w:val="auto"/>
          <w:sz w:val="32"/>
          <w:szCs w:val="32"/>
          <w:lang w:val="en-US" w:eastAsia="zh-CN"/>
        </w:rPr>
        <w:t>（其中公务用车购置支出0万元）</w:t>
      </w:r>
      <w:r>
        <w:rPr>
          <w:rFonts w:hint="eastAsia" w:ascii="仿宋_GB2312" w:hAnsi="仿宋_GB2312" w:eastAsia="仿宋_GB2312" w:cs="仿宋_GB2312"/>
          <w:bCs/>
          <w:color w:val="auto"/>
          <w:sz w:val="32"/>
          <w:szCs w:val="32"/>
          <w:lang w:eastAsia="zh-CN"/>
        </w:rPr>
        <w:t>，因</w:t>
      </w:r>
      <w:r>
        <w:rPr>
          <w:rFonts w:hint="eastAsia" w:ascii="仿宋_GB2312" w:hAnsi="仿宋_GB2312" w:eastAsia="仿宋_GB2312" w:cs="仿宋_GB2312"/>
          <w:bCs/>
          <w:color w:val="auto"/>
          <w:sz w:val="32"/>
          <w:szCs w:val="32"/>
        </w:rPr>
        <w:t>公出国</w:t>
      </w:r>
      <w:r>
        <w:rPr>
          <w:rFonts w:hint="eastAsia" w:ascii="仿宋_GB2312" w:hAnsi="仿宋_GB2312" w:eastAsia="仿宋_GB2312" w:cs="仿宋_GB2312"/>
          <w:bCs/>
          <w:color w:val="auto"/>
          <w:sz w:val="32"/>
          <w:szCs w:val="32"/>
          <w:lang w:eastAsia="zh-CN"/>
        </w:rPr>
        <w:t>费用</w:t>
      </w:r>
      <w:r>
        <w:rPr>
          <w:rFonts w:hint="eastAsia" w:ascii="仿宋_GB2312" w:hAnsi="仿宋_GB2312" w:eastAsia="仿宋_GB2312" w:cs="仿宋_GB2312"/>
          <w:bCs/>
          <w:color w:val="auto"/>
          <w:sz w:val="32"/>
          <w:szCs w:val="32"/>
          <w:lang w:val="en-US" w:eastAsia="zh-CN"/>
        </w:rPr>
        <w:t>预算与实际</w:t>
      </w:r>
      <w:r>
        <w:rPr>
          <w:rFonts w:hint="eastAsia" w:ascii="仿宋_GB2312" w:hAnsi="仿宋_GB2312" w:eastAsia="仿宋_GB2312" w:cs="仿宋_GB2312"/>
          <w:bCs/>
          <w:color w:val="auto"/>
          <w:sz w:val="32"/>
          <w:szCs w:val="32"/>
        </w:rPr>
        <w:t>支出</w:t>
      </w:r>
      <w:r>
        <w:rPr>
          <w:rFonts w:hint="eastAsia" w:ascii="仿宋_GB2312" w:hAnsi="仿宋_GB2312" w:eastAsia="仿宋_GB2312" w:cs="仿宋_GB2312"/>
          <w:bCs/>
          <w:color w:val="auto"/>
          <w:sz w:val="32"/>
          <w:szCs w:val="32"/>
          <w:lang w:val="en-US" w:eastAsia="zh-CN"/>
        </w:rPr>
        <w:t>均为</w:t>
      </w:r>
      <w:r>
        <w:rPr>
          <w:rFonts w:hint="eastAsia" w:ascii="仿宋_GB2312" w:hAnsi="仿宋_GB2312" w:eastAsia="仿宋_GB2312" w:cs="仿宋_GB2312"/>
          <w:bCs/>
          <w:color w:val="auto"/>
          <w:sz w:val="32"/>
          <w:szCs w:val="32"/>
        </w:rPr>
        <w:t>0万元</w:t>
      </w:r>
      <w:r>
        <w:rPr>
          <w:rFonts w:hint="eastAsia" w:ascii="仿宋_GB2312" w:hAnsi="仿宋_GB2312" w:eastAsia="仿宋_GB2312" w:cs="仿宋_GB2312"/>
          <w:bCs/>
          <w:color w:val="auto"/>
          <w:sz w:val="32"/>
          <w:szCs w:val="32"/>
          <w:lang w:eastAsia="zh-CN"/>
        </w:rPr>
        <w:t>，“三公经费”支出</w:t>
      </w:r>
      <w:r>
        <w:rPr>
          <w:rFonts w:hint="eastAsia" w:ascii="仿宋_GB2312" w:hAnsi="仿宋_GB2312" w:eastAsia="仿宋_GB2312" w:cs="仿宋_GB2312"/>
          <w:bCs/>
          <w:color w:val="auto"/>
          <w:sz w:val="32"/>
          <w:szCs w:val="32"/>
          <w:lang w:val="en-US" w:eastAsia="zh-CN"/>
        </w:rPr>
        <w:t>总额为17.86万元，</w:t>
      </w:r>
      <w:r>
        <w:rPr>
          <w:rFonts w:hint="eastAsia" w:ascii="仿宋_GB2312" w:hAnsi="仿宋_GB2312" w:eastAsia="仿宋_GB2312" w:cs="仿宋_GB2312"/>
          <w:bCs/>
          <w:color w:val="auto"/>
          <w:sz w:val="32"/>
          <w:szCs w:val="32"/>
          <w:lang w:eastAsia="zh-CN"/>
        </w:rPr>
        <w:t>控制在年初预算之内</w:t>
      </w:r>
      <w:r>
        <w:rPr>
          <w:rFonts w:hint="eastAsia" w:ascii="仿宋_GB2312" w:hAnsi="仿宋_GB2312" w:eastAsia="仿宋_GB2312" w:cs="仿宋_GB2312"/>
          <w:bCs/>
          <w:color w:val="auto"/>
          <w:sz w:val="32"/>
          <w:szCs w:val="32"/>
        </w:rPr>
        <w:t>。</w:t>
      </w:r>
    </w:p>
    <w:p>
      <w:pPr>
        <w:pStyle w:val="10"/>
        <w:keepNext w:val="0"/>
        <w:keepLines w:val="0"/>
        <w:pageBreakBefore w:val="0"/>
        <w:widowControl/>
        <w:numPr>
          <w:ilvl w:val="0"/>
          <w:numId w:val="2"/>
        </w:numPr>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项目支出情况</w:t>
      </w:r>
    </w:p>
    <w:p>
      <w:pPr>
        <w:keepNext w:val="0"/>
        <w:keepLines w:val="0"/>
        <w:pageBreakBefore w:val="0"/>
        <w:wordWrap/>
        <w:overflowPunct/>
        <w:topLinePunct w:val="0"/>
        <w:bidi w:val="0"/>
        <w:spacing w:line="600" w:lineRule="exact"/>
        <w:ind w:left="0" w:firstLine="640" w:firstLineChars="200"/>
        <w:jc w:val="left"/>
        <w:rPr>
          <w:rFonts w:hint="eastAsia" w:ascii="仿宋_GB2312" w:hAnsi="仿宋_GB2312" w:eastAsia="仿宋_GB2312" w:cs="仿宋_GB2312"/>
          <w:color w:val="auto"/>
          <w:spacing w:val="-18"/>
          <w:kern w:val="0"/>
          <w:sz w:val="32"/>
          <w:szCs w:val="32"/>
        </w:rPr>
      </w:pP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23</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项目资金</w:t>
      </w:r>
      <w:r>
        <w:rPr>
          <w:rFonts w:hint="eastAsia" w:ascii="仿宋_GB2312" w:hAnsi="仿宋_GB2312" w:eastAsia="仿宋_GB2312" w:cs="仿宋_GB2312"/>
          <w:bCs/>
          <w:sz w:val="32"/>
          <w:szCs w:val="32"/>
          <w:lang w:val="en-US" w:eastAsia="zh-CN"/>
        </w:rPr>
        <w:t>年初</w:t>
      </w:r>
      <w:r>
        <w:rPr>
          <w:rFonts w:hint="eastAsia" w:ascii="仿宋_GB2312" w:hAnsi="仿宋_GB2312" w:eastAsia="仿宋_GB2312" w:cs="仿宋_GB2312"/>
          <w:bCs/>
          <w:sz w:val="32"/>
          <w:szCs w:val="32"/>
        </w:rPr>
        <w:t>预算</w:t>
      </w:r>
      <w:r>
        <w:rPr>
          <w:rFonts w:hint="eastAsia" w:ascii="仿宋_GB2312" w:hAnsi="仿宋_GB2312" w:eastAsia="仿宋_GB2312" w:cs="仿宋_GB2312"/>
          <w:bCs/>
          <w:sz w:val="32"/>
          <w:szCs w:val="32"/>
          <w:lang w:val="en-US" w:eastAsia="zh-CN"/>
        </w:rPr>
        <w:t>总额为283.00</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年中项目支出预算总额调整为404.39万元，</w:t>
      </w:r>
      <w:r>
        <w:rPr>
          <w:rFonts w:hint="eastAsia" w:ascii="仿宋_GB2312" w:hAnsi="仿宋_GB2312" w:eastAsia="仿宋_GB2312" w:cs="仿宋_GB2312"/>
          <w:bCs/>
          <w:color w:val="auto"/>
          <w:sz w:val="32"/>
          <w:szCs w:val="32"/>
        </w:rPr>
        <w:t>项目</w:t>
      </w:r>
      <w:r>
        <w:rPr>
          <w:rFonts w:hint="eastAsia" w:ascii="仿宋_GB2312" w:hAnsi="仿宋_GB2312" w:eastAsia="仿宋_GB2312" w:cs="仿宋_GB2312"/>
          <w:bCs/>
          <w:color w:val="auto"/>
          <w:sz w:val="32"/>
          <w:szCs w:val="32"/>
          <w:lang w:val="en-US" w:eastAsia="zh-CN"/>
        </w:rPr>
        <w:t>实际</w:t>
      </w:r>
      <w:r>
        <w:rPr>
          <w:rFonts w:hint="eastAsia" w:ascii="仿宋_GB2312" w:hAnsi="仿宋_GB2312" w:eastAsia="仿宋_GB2312" w:cs="仿宋_GB2312"/>
          <w:bCs/>
          <w:color w:val="auto"/>
          <w:sz w:val="32"/>
          <w:szCs w:val="32"/>
        </w:rPr>
        <w:t>支出</w:t>
      </w:r>
      <w:r>
        <w:rPr>
          <w:rFonts w:hint="eastAsia" w:ascii="仿宋_GB2312" w:hAnsi="仿宋_GB2312" w:eastAsia="仿宋_GB2312" w:cs="仿宋_GB2312"/>
          <w:bCs/>
          <w:color w:val="auto"/>
          <w:sz w:val="32"/>
          <w:szCs w:val="32"/>
          <w:lang w:val="en-US" w:eastAsia="zh-CN"/>
        </w:rPr>
        <w:t>总额为</w:t>
      </w:r>
      <w:r>
        <w:rPr>
          <w:rFonts w:hint="eastAsia" w:ascii="仿宋_GB2312" w:hAnsi="仿宋_GB2312" w:eastAsia="仿宋_GB2312" w:cs="仿宋_GB2312"/>
          <w:bCs/>
          <w:sz w:val="32"/>
          <w:szCs w:val="32"/>
          <w:lang w:val="en-US" w:eastAsia="zh-CN"/>
        </w:rPr>
        <w:t>404.39</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bCs/>
          <w:color w:val="auto"/>
          <w:sz w:val="32"/>
          <w:szCs w:val="32"/>
          <w:lang w:val="en-US" w:eastAsia="zh-CN"/>
        </w:rPr>
        <w:t>其中</w:t>
      </w:r>
      <w:r>
        <w:rPr>
          <w:rFonts w:hint="eastAsia" w:ascii="仿宋_GB2312" w:hAnsi="仿宋_GB2312" w:eastAsia="仿宋_GB2312" w:cs="仿宋_GB2312"/>
          <w:color w:val="auto"/>
          <w:sz w:val="32"/>
          <w:szCs w:val="32"/>
        </w:rPr>
        <w:t>城管事务</w:t>
      </w:r>
      <w:r>
        <w:rPr>
          <w:rFonts w:hint="eastAsia" w:ascii="仿宋_GB2312" w:hAnsi="仿宋_GB2312" w:eastAsia="仿宋_GB2312" w:cs="仿宋_GB2312"/>
          <w:color w:val="auto"/>
          <w:sz w:val="32"/>
          <w:szCs w:val="32"/>
          <w:lang w:val="en-US" w:eastAsia="zh-CN"/>
        </w:rPr>
        <w:t>管理</w:t>
      </w:r>
      <w:r>
        <w:rPr>
          <w:rFonts w:hint="eastAsia" w:ascii="仿宋_GB2312" w:hAnsi="仿宋_GB2312" w:eastAsia="仿宋_GB2312" w:cs="仿宋_GB2312"/>
          <w:color w:val="auto"/>
          <w:sz w:val="32"/>
          <w:szCs w:val="32"/>
        </w:rPr>
        <w:t>经费</w:t>
      </w:r>
      <w:r>
        <w:rPr>
          <w:rFonts w:hint="eastAsia" w:ascii="仿宋_GB2312" w:hAnsi="仿宋_GB2312" w:eastAsia="仿宋_GB2312" w:cs="仿宋_GB2312"/>
          <w:color w:val="auto"/>
          <w:sz w:val="32"/>
          <w:szCs w:val="32"/>
          <w:lang w:val="en-US" w:eastAsia="zh-CN"/>
        </w:rPr>
        <w:t>支出156.82</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城管</w:t>
      </w:r>
      <w:r>
        <w:rPr>
          <w:rFonts w:hint="eastAsia" w:ascii="仿宋_GB2312" w:hAnsi="仿宋_GB2312" w:eastAsia="仿宋_GB2312" w:cs="仿宋_GB2312"/>
          <w:color w:val="auto"/>
          <w:sz w:val="32"/>
          <w:szCs w:val="32"/>
          <w:lang w:val="en-US" w:eastAsia="zh-CN"/>
        </w:rPr>
        <w:t>协管员人员</w:t>
      </w:r>
      <w:r>
        <w:rPr>
          <w:rFonts w:hint="eastAsia" w:ascii="仿宋_GB2312" w:hAnsi="仿宋_GB2312" w:eastAsia="仿宋_GB2312" w:cs="仿宋_GB2312"/>
          <w:color w:val="auto"/>
          <w:sz w:val="32"/>
          <w:szCs w:val="32"/>
        </w:rPr>
        <w:t>经费</w:t>
      </w:r>
      <w:r>
        <w:rPr>
          <w:rFonts w:hint="eastAsia" w:ascii="仿宋_GB2312" w:hAnsi="仿宋_GB2312" w:eastAsia="仿宋_GB2312" w:cs="仿宋_GB2312"/>
          <w:bCs/>
          <w:color w:val="auto"/>
          <w:sz w:val="32"/>
          <w:szCs w:val="32"/>
          <w:lang w:val="en-US" w:eastAsia="zh-CN"/>
        </w:rPr>
        <w:t>180.00</w:t>
      </w:r>
      <w:r>
        <w:rPr>
          <w:rFonts w:hint="eastAsia" w:ascii="仿宋_GB2312" w:hAnsi="仿宋_GB2312" w:eastAsia="仿宋_GB2312" w:cs="仿宋_GB2312"/>
          <w:bCs/>
          <w:color w:val="auto"/>
          <w:sz w:val="32"/>
          <w:szCs w:val="32"/>
        </w:rPr>
        <w:t>元</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办案费支出67.57万元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Cs/>
          <w:color w:val="auto"/>
          <w:sz w:val="32"/>
          <w:szCs w:val="32"/>
          <w:lang w:val="en-US" w:eastAsia="zh-CN"/>
        </w:rPr>
        <w:t>主要用于执法办案、燃气执法、固废执法、基建场地污染整治、户外广告整治、破道停车整治、扬尘治理、噪音治理、专业性考核</w:t>
      </w:r>
      <w:r>
        <w:rPr>
          <w:rFonts w:hint="eastAsia" w:ascii="仿宋_GB2312" w:hAnsi="仿宋_GB2312" w:eastAsia="仿宋_GB2312" w:cs="仿宋_GB2312"/>
          <w:bCs/>
          <w:strike w:val="0"/>
          <w:dstrike w:val="0"/>
          <w:color w:val="000000" w:themeColor="text1"/>
          <w:sz w:val="32"/>
          <w:szCs w:val="32"/>
          <w:lang w:val="en-US" w:eastAsia="zh-CN"/>
          <w14:textFill>
            <w14:solidFill>
              <w14:schemeClr w14:val="tx1"/>
            </w14:solidFill>
          </w14:textFill>
        </w:rPr>
        <w:t>和</w:t>
      </w:r>
      <w:r>
        <w:rPr>
          <w:rFonts w:hint="eastAsia" w:ascii="仿宋_GB2312" w:hAnsi="仿宋_GB2312" w:eastAsia="仿宋_GB2312" w:cs="仿宋_GB2312"/>
          <w:bCs/>
          <w:color w:val="auto"/>
          <w:sz w:val="32"/>
          <w:szCs w:val="32"/>
          <w:lang w:val="en-US" w:eastAsia="zh-CN"/>
        </w:rPr>
        <w:t>协管员劳务费等项目支出。</w:t>
      </w:r>
    </w:p>
    <w:p>
      <w:pPr>
        <w:pStyle w:val="10"/>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政府性基金预算</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国有资本经营预算</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社会保险基金预算支出情况</w:t>
      </w:r>
    </w:p>
    <w:p>
      <w:pPr>
        <w:pStyle w:val="10"/>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eastAsia" w:ascii="仿宋_GB2312" w:hAnsi="仿宋_GB2312" w:eastAsia="仿宋_GB2312" w:cs="仿宋_GB2312"/>
          <w:sz w:val="32"/>
          <w:szCs w:val="32"/>
          <w:lang w:val="en-US" w:eastAsia="zh-CN"/>
        </w:rPr>
        <w:t>我单位无</w:t>
      </w:r>
      <w:r>
        <w:rPr>
          <w:rFonts w:hint="eastAsia" w:ascii="仿宋_GB2312" w:hAnsi="仿宋_GB2312" w:eastAsia="仿宋_GB2312" w:cs="仿宋_GB2312"/>
          <w:sz w:val="32"/>
          <w:szCs w:val="32"/>
        </w:rPr>
        <w:t>政府性基金预算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国有资本经营预算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社会保险基金预算支出</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、部门整体支出绩效情况</w:t>
      </w:r>
    </w:p>
    <w:p>
      <w:pPr>
        <w:keepNext w:val="0"/>
        <w:keepLines w:val="0"/>
        <w:pageBreakBefore w:val="0"/>
        <w:widowControl/>
        <w:kinsoku/>
        <w:wordWrap/>
        <w:overflowPunct/>
        <w:topLinePunct w:val="0"/>
        <w:autoSpaceDE/>
        <w:autoSpaceDN/>
        <w:bidi w:val="0"/>
        <w:adjustRightInd/>
        <w:snapToGrid/>
        <w:spacing w:line="600" w:lineRule="exact"/>
        <w:ind w:firstLine="642" w:firstLineChars="200"/>
        <w:jc w:val="left"/>
        <w:textAlignment w:val="auto"/>
        <w:rPr>
          <w:rFonts w:hint="default" w:ascii="Times New Roman" w:hAnsi="Times New Roman" w:eastAsia="仿宋_GB2312" w:cs="Times New Roman"/>
          <w:color w:val="000000"/>
          <w:sz w:val="32"/>
          <w:szCs w:val="32"/>
        </w:rPr>
      </w:pPr>
      <w:r>
        <w:rPr>
          <w:rFonts w:hint="eastAsia" w:ascii="楷体_GB2312" w:hAnsi="楷体_GB2312" w:eastAsia="楷体_GB2312" w:cs="楷体_GB2312"/>
          <w:b/>
          <w:bCs w:val="0"/>
          <w:color w:val="auto"/>
          <w:kern w:val="2"/>
          <w:sz w:val="32"/>
          <w:szCs w:val="32"/>
          <w:highlight w:val="none"/>
          <w:lang w:val="en-US" w:eastAsia="zh-CN" w:bidi="ar-SA"/>
        </w:rPr>
        <w:t>（一）年度绩效目标</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lang w:val="en-US" w:eastAsia="zh-CN"/>
        </w:rPr>
        <w:t>目标1：</w:t>
      </w:r>
      <w:r>
        <w:rPr>
          <w:rFonts w:hint="eastAsia" w:ascii="仿宋_GB2312" w:hAnsi="仿宋_GB2312" w:eastAsia="仿宋_GB2312" w:cs="仿宋_GB2312"/>
          <w:color w:val="000000"/>
          <w:sz w:val="32"/>
          <w:szCs w:val="32"/>
          <w:highlight w:val="none"/>
        </w:rPr>
        <w:t>贯彻执行国家有关城市管理方面的法律法规规章和政策规定；</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lang w:val="en-US" w:eastAsia="zh-CN"/>
        </w:rPr>
        <w:t>目标2：</w:t>
      </w:r>
      <w:r>
        <w:rPr>
          <w:rFonts w:hint="eastAsia" w:ascii="仿宋_GB2312" w:hAnsi="仿宋_GB2312" w:eastAsia="仿宋_GB2312" w:cs="仿宋_GB2312"/>
          <w:color w:val="000000"/>
          <w:sz w:val="32"/>
          <w:szCs w:val="32"/>
          <w:highlight w:val="none"/>
        </w:rPr>
        <w:t>负责行使市本级管理权限范围内市政公用设施运行管理、市容环境卫生、园林绿化管理、城镇燃气管理等城市管理方面的行政处罚权及相应的行政强制权；</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lang w:val="en-US" w:eastAsia="zh-CN"/>
        </w:rPr>
        <w:t>目标3：</w:t>
      </w:r>
      <w:r>
        <w:rPr>
          <w:rFonts w:hint="eastAsia" w:ascii="仿宋_GB2312" w:hAnsi="仿宋_GB2312" w:eastAsia="仿宋_GB2312" w:cs="仿宋_GB2312"/>
          <w:color w:val="000000"/>
          <w:sz w:val="32"/>
          <w:szCs w:val="32"/>
          <w:highlight w:val="none"/>
        </w:rPr>
        <w:t>负责逐步全面行使市本级范围内住房和城乡建设领域法律法规规章规定的行政处罚权及相应的行政强制权；</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lang w:val="en-US" w:eastAsia="zh-CN"/>
        </w:rPr>
        <w:t>目标4：</w:t>
      </w:r>
      <w:r>
        <w:rPr>
          <w:rFonts w:hint="eastAsia" w:ascii="仿宋_GB2312" w:hAnsi="仿宋_GB2312" w:eastAsia="仿宋_GB2312" w:cs="仿宋_GB2312"/>
          <w:color w:val="000000"/>
          <w:sz w:val="32"/>
          <w:szCs w:val="32"/>
          <w:highlight w:val="none"/>
        </w:rPr>
        <w:t>负责行使市本级管理权限范围内建筑施工场地噪音污染、扬尘污染等生态环境保护管理方面的行政处罚权及相应的行政强制权</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000000"/>
          <w:sz w:val="32"/>
          <w:szCs w:val="32"/>
          <w:lang w:val="en-US" w:eastAsia="zh-CN"/>
        </w:rPr>
        <w:t>目标5：</w:t>
      </w:r>
      <w:r>
        <w:rPr>
          <w:rFonts w:hint="eastAsia" w:ascii="仿宋_GB2312" w:hAnsi="仿宋_GB2312" w:eastAsia="仿宋_GB2312" w:cs="仿宋_GB2312"/>
          <w:color w:val="000000"/>
          <w:sz w:val="32"/>
          <w:szCs w:val="32"/>
          <w:highlight w:val="none"/>
        </w:rPr>
        <w:t>为我市打造名副其实的省域副中心城市创造良好的市容管理秩序。　　</w:t>
      </w:r>
    </w:p>
    <w:p>
      <w:pPr>
        <w:pStyle w:val="10"/>
        <w:keepNext w:val="0"/>
        <w:keepLines w:val="0"/>
        <w:pageBreakBefore w:val="0"/>
        <w:widowControl/>
        <w:numPr>
          <w:ilvl w:val="0"/>
          <w:numId w:val="3"/>
        </w:numPr>
        <w:kinsoku/>
        <w:wordWrap/>
        <w:overflowPunct/>
        <w:topLinePunct w:val="0"/>
        <w:autoSpaceDE/>
        <w:autoSpaceDN/>
        <w:bidi w:val="0"/>
        <w:adjustRightInd/>
        <w:snapToGrid/>
        <w:spacing w:line="600" w:lineRule="exact"/>
        <w:ind w:firstLine="642" w:firstLineChars="200"/>
        <w:jc w:val="left"/>
        <w:textAlignment w:val="auto"/>
        <w:rPr>
          <w:rFonts w:hint="eastAsia" w:ascii="楷体_GB2312" w:hAnsi="楷体_GB2312" w:eastAsia="楷体_GB2312" w:cs="楷体_GB2312"/>
          <w:b/>
          <w:bCs/>
          <w:kern w:val="0"/>
          <w:sz w:val="32"/>
          <w:szCs w:val="32"/>
          <w:lang w:val="en-US" w:eastAsia="zh-CN"/>
        </w:rPr>
      </w:pPr>
      <w:r>
        <w:rPr>
          <w:rFonts w:hint="eastAsia" w:ascii="楷体_GB2312" w:hAnsi="楷体_GB2312" w:eastAsia="楷体_GB2312" w:cs="楷体_GB2312"/>
          <w:b/>
          <w:bCs w:val="0"/>
          <w:color w:val="auto"/>
          <w:kern w:val="2"/>
          <w:sz w:val="32"/>
          <w:szCs w:val="32"/>
          <w:highlight w:val="none"/>
          <w:lang w:val="en-US" w:eastAsia="zh-CN" w:bidi="ar-SA"/>
        </w:rPr>
        <w:t>完成情况及</w:t>
      </w:r>
      <w:r>
        <w:rPr>
          <w:rFonts w:hint="eastAsia" w:ascii="楷体_GB2312" w:hAnsi="楷体_GB2312" w:eastAsia="楷体_GB2312" w:cs="楷体_GB2312"/>
          <w:b/>
          <w:bCs/>
          <w:kern w:val="0"/>
          <w:sz w:val="32"/>
          <w:szCs w:val="32"/>
          <w:lang w:val="en-US" w:eastAsia="zh-CN"/>
        </w:rPr>
        <w:t>取得的效益情况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val="en-US" w:eastAsia="zh-CN"/>
        </w:rPr>
        <w:t>目标1完成情况：</w:t>
      </w:r>
      <w:r>
        <w:rPr>
          <w:rFonts w:hint="eastAsia" w:ascii="仿宋_GB2312" w:hAnsi="仿宋_GB2312" w:eastAsia="仿宋_GB2312" w:cs="仿宋_GB2312"/>
          <w:sz w:val="32"/>
          <w:szCs w:val="32"/>
          <w:lang w:eastAsia="zh-CN"/>
        </w:rPr>
        <w:t>贯彻执行国家有关城市管理方面的法律法规、规章</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lang w:eastAsia="zh-CN"/>
        </w:rPr>
        <w:t>政策规定</w:t>
      </w:r>
      <w:r>
        <w:rPr>
          <w:rFonts w:hint="eastAsia" w:ascii="仿宋_GB2312" w:hAnsi="仿宋_GB2312" w:eastAsia="仿宋_GB2312" w:cs="仿宋_GB2312"/>
          <w:sz w:val="32"/>
          <w:szCs w:val="32"/>
          <w:lang w:val="en-US" w:eastAsia="zh-CN"/>
        </w:rPr>
        <w:t>效果良好</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目标2完成情况：</w:t>
      </w:r>
      <w:r>
        <w:rPr>
          <w:rFonts w:hint="eastAsia" w:ascii="仿宋_GB2312" w:hAnsi="仿宋_GB2312" w:eastAsia="仿宋_GB2312" w:cs="仿宋_GB2312"/>
          <w:sz w:val="32"/>
          <w:szCs w:val="32"/>
          <w:lang w:eastAsia="zh-CN"/>
        </w:rPr>
        <w:t>市本级管理权限范围内市政公用设施运行管理、市容环境卫生、园林绿化管理、城镇燃气管理等城市管理方面的行政处罚权及相应的行政强制权，</w:t>
      </w:r>
      <w:r>
        <w:rPr>
          <w:rFonts w:hint="eastAsia" w:ascii="仿宋_GB2312" w:hAnsi="仿宋_GB2312" w:eastAsia="仿宋_GB2312" w:cs="仿宋_GB2312"/>
          <w:sz w:val="32"/>
          <w:szCs w:val="32"/>
          <w:lang w:val="en-US" w:eastAsia="zh-CN"/>
        </w:rPr>
        <w:t>执法合法合规，效果良好</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rPr>
        <w:t>目标3完成情况：</w:t>
      </w:r>
      <w:r>
        <w:rPr>
          <w:rFonts w:hint="eastAsia" w:ascii="仿宋_GB2312" w:hAnsi="仿宋_GB2312" w:eastAsia="仿宋_GB2312" w:cs="仿宋_GB2312"/>
          <w:sz w:val="32"/>
          <w:szCs w:val="32"/>
          <w:lang w:eastAsia="zh-CN"/>
        </w:rPr>
        <w:t>市本级范围内住房和城乡建设领域法律法规规章规定的行政处罚权及相应的行政强制权，</w:t>
      </w:r>
      <w:r>
        <w:rPr>
          <w:rFonts w:hint="eastAsia" w:ascii="仿宋_GB2312" w:hAnsi="仿宋_GB2312" w:eastAsia="仿宋_GB2312" w:cs="仿宋_GB2312"/>
          <w:sz w:val="32"/>
          <w:szCs w:val="32"/>
          <w:lang w:val="en-US" w:eastAsia="zh-CN"/>
        </w:rPr>
        <w:t>执法合法合规，成效明显</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目标4完成情况：</w:t>
      </w:r>
      <w:r>
        <w:rPr>
          <w:rFonts w:hint="eastAsia" w:ascii="仿宋_GB2312" w:hAnsi="仿宋_GB2312" w:eastAsia="仿宋_GB2312" w:cs="仿宋_GB2312"/>
          <w:sz w:val="32"/>
          <w:szCs w:val="32"/>
          <w:lang w:eastAsia="zh-CN"/>
        </w:rPr>
        <w:t>市本级管理权限范围内建筑施工场地噪音污染、扬尘污染等生态环境保护管理方面的行政处罚权及相应的行政强制权，</w:t>
      </w:r>
      <w:r>
        <w:rPr>
          <w:rFonts w:hint="eastAsia" w:ascii="仿宋_GB2312" w:hAnsi="仿宋_GB2312" w:eastAsia="仿宋_GB2312" w:cs="仿宋_GB2312"/>
          <w:sz w:val="32"/>
          <w:szCs w:val="32"/>
          <w:lang w:val="en-US" w:eastAsia="zh-CN"/>
        </w:rPr>
        <w:t>执法合法合规，效果明显；</w:t>
      </w:r>
    </w:p>
    <w:p>
      <w:pPr>
        <w:pStyle w:val="10"/>
        <w:keepNext w:val="0"/>
        <w:keepLines w:val="0"/>
        <w:pageBreakBefore w:val="0"/>
        <w:widowControl/>
        <w:numPr>
          <w:ilvl w:val="0"/>
          <w:numId w:val="0"/>
        </w:numPr>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lang w:val="en-US" w:eastAsia="zh-CN"/>
        </w:rPr>
        <w:t>目标5完成情况：</w:t>
      </w:r>
      <w:r>
        <w:rPr>
          <w:rFonts w:hint="eastAsia" w:ascii="仿宋_GB2312" w:hAnsi="仿宋_GB2312" w:eastAsia="仿宋_GB2312" w:cs="仿宋_GB2312"/>
          <w:sz w:val="32"/>
          <w:szCs w:val="32"/>
          <w:lang w:eastAsia="zh-CN"/>
        </w:rPr>
        <w:t>为我市打造名副其实的省域副中心城市创造</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lang w:eastAsia="zh-CN"/>
        </w:rPr>
        <w:t>良好的市容管理秩序。</w:t>
      </w:r>
    </w:p>
    <w:p>
      <w:pPr>
        <w:pStyle w:val="10"/>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2" w:firstLineChars="200"/>
        <w:jc w:val="left"/>
        <w:textAlignment w:val="auto"/>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取得的效益情况：</w:t>
      </w:r>
    </w:p>
    <w:p>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64" w:firstLineChars="200"/>
        <w:jc w:val="left"/>
        <w:textAlignment w:val="baseline"/>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2023年，</w:t>
      </w:r>
      <w:r>
        <w:rPr>
          <w:rFonts w:hint="eastAsia" w:ascii="仿宋_GB2312" w:hAnsi="仿宋_GB2312" w:eastAsia="仿宋_GB2312" w:cs="仿宋_GB2312"/>
          <w:spacing w:val="6"/>
          <w:kern w:val="0"/>
          <w:sz w:val="32"/>
          <w:szCs w:val="32"/>
          <w:lang w:val="en-US" w:eastAsia="zh-CN"/>
        </w:rPr>
        <w:t>支</w:t>
      </w:r>
      <w:r>
        <w:rPr>
          <w:rFonts w:hint="eastAsia" w:ascii="仿宋_GB2312" w:hAnsi="仿宋_GB2312" w:eastAsia="仿宋_GB2312" w:cs="仿宋_GB2312"/>
          <w:spacing w:val="6"/>
          <w:kern w:val="0"/>
          <w:sz w:val="32"/>
          <w:szCs w:val="32"/>
        </w:rPr>
        <w:t>队坚持以习近平新时代中国特色社会主义思想为指导，在市城管局的坚强领导下，紧扣“六大城管”建设顶层思路，深化“六队、五有、三优”内涵要义，做足“强基、赋能、塑形”三篇文章，迎难而上、加压奋进，一手抓主题教育，一手抓主职主业，以“三大变化”引领城管执法事业高质量发展。</w:t>
      </w:r>
    </w:p>
    <w:p>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64" w:firstLineChars="200"/>
        <w:jc w:val="left"/>
        <w:textAlignment w:val="baseline"/>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lang w:val="en-US" w:eastAsia="zh-CN"/>
        </w:rPr>
        <w:t>1.</w:t>
      </w:r>
      <w:r>
        <w:rPr>
          <w:rFonts w:hint="eastAsia" w:ascii="仿宋_GB2312" w:hAnsi="仿宋_GB2312" w:eastAsia="仿宋_GB2312" w:cs="仿宋_GB2312"/>
          <w:spacing w:val="6"/>
          <w:kern w:val="0"/>
          <w:sz w:val="32"/>
          <w:szCs w:val="32"/>
        </w:rPr>
        <w:t>体制之“变”，队伍发展内生动力不断增强。以职能调整为契机，以主题教育为主线，完善体制机制，加强党的建设，全面从严治党。一是机构改革迈出有力步伐。新成立广告和园林、固体废物处置、市政公用设施3个执法大队，班子人员、干部力量重新组合，办公用房、保障物资调剂配备，干部备案、职级晋升加快推进，形成“机关＋7个大队”的全新架构。拓展执法领域、提升专业水平，户外广告整治有力跟进、园林绿化景观全面巡护、餐厨执法模式纵深探索、破道停车整治大力实施，填补部分执法领域空白，树立市级层面执法权威，充分释放了机构改革活力。二是党的建设引领事业方向。优化第一议题制度、支队党委工作规则，完善“三重一大”议事清单。扎实</w:t>
      </w:r>
      <w:r>
        <w:rPr>
          <w:rFonts w:hint="eastAsia" w:ascii="仿宋_GB2312" w:hAnsi="仿宋_GB2312" w:eastAsia="仿宋_GB2312" w:cs="仿宋_GB2312"/>
          <w:spacing w:val="6"/>
          <w:kern w:val="0"/>
          <w:sz w:val="32"/>
          <w:szCs w:val="32"/>
          <w:lang w:val="en-US" w:eastAsia="zh-CN"/>
        </w:rPr>
        <w:t>开展</w:t>
      </w:r>
      <w:r>
        <w:rPr>
          <w:rFonts w:hint="eastAsia" w:ascii="仿宋_GB2312" w:hAnsi="仿宋_GB2312" w:eastAsia="仿宋_GB2312" w:cs="仿宋_GB2312"/>
          <w:spacing w:val="6"/>
          <w:kern w:val="0"/>
          <w:sz w:val="32"/>
          <w:szCs w:val="32"/>
        </w:rPr>
        <w:t>主题教育，领导班子带头开展“走找想促”调查研究，提出并解决问题16个。落实意识形态责任，每季开展思想状况摸排，守住了意识形态阵地。三是制度创新迸发干事活力。实施定期讲评制度，每季度公开评选先进集体，以讲促进、以评促干，有力推动全年目标任务完成。实</w:t>
      </w:r>
      <w:r>
        <w:rPr>
          <w:rFonts w:hint="eastAsia" w:ascii="仿宋_GB2312" w:hAnsi="仿宋_GB2312" w:eastAsia="仿宋_GB2312" w:cs="仿宋_GB2312"/>
          <w:spacing w:val="6"/>
          <w:kern w:val="0"/>
          <w:sz w:val="32"/>
          <w:szCs w:val="32"/>
          <w:lang w:val="en-US" w:eastAsia="zh-CN"/>
        </w:rPr>
        <w:t>行</w:t>
      </w:r>
      <w:r>
        <w:rPr>
          <w:rFonts w:hint="eastAsia" w:ascii="仿宋_GB2312" w:hAnsi="仿宋_GB2312" w:eastAsia="仿宋_GB2312" w:cs="仿宋_GB2312"/>
          <w:spacing w:val="6"/>
          <w:kern w:val="0"/>
          <w:sz w:val="32"/>
          <w:szCs w:val="32"/>
        </w:rPr>
        <w:t>律师驻队制度，联合驻队律师法制初核案件125起、听证1起、应诉6起、答辩2起，提前介入新型或疑难案件3起，办案质效得到极大提升。实施案件审核制度，成立案件审核委员会，召开案审会14次，对119起案件形成处理意见，案件办理更加公开公正；同时开展案卷评查，组织执法、案卷制作、民法典解读等3场专题培训，“如法网”学法考法通过率100%，办案能力得到有效提高。四是廉洁护航守牢发展底线。聚焦“清廉城管”建设，组织开展清廉支部、清廉大队、清廉科室和清廉家庭四大创建及评选活动。组织集中观看廉政警示教育片5部，工作群内转发廉政信息上百条，不定期编发纪检学习资料，持续释放执纪必严的信号。举全队之力承办以“建清廉城管 当执法标兵”为主题的市城管局第38期道德讲堂，廉洁文化的渗透力和感染力，博得全场多次掌声，受到各方充分肯定。</w:t>
      </w:r>
    </w:p>
    <w:p>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64" w:firstLineChars="200"/>
        <w:jc w:val="left"/>
        <w:textAlignment w:val="baseline"/>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lang w:val="en-US" w:eastAsia="zh-CN"/>
        </w:rPr>
        <w:t>2.</w:t>
      </w:r>
      <w:r>
        <w:rPr>
          <w:rFonts w:hint="eastAsia" w:ascii="仿宋_GB2312" w:hAnsi="仿宋_GB2312" w:eastAsia="仿宋_GB2312" w:cs="仿宋_GB2312"/>
          <w:spacing w:val="6"/>
          <w:kern w:val="0"/>
          <w:sz w:val="32"/>
          <w:szCs w:val="32"/>
        </w:rPr>
        <w:t>主业之“变”，执法保障支撑能力更加坚实。从严抓执法，务实抓考评，推动城管执法水平实现新突破、重点方面执法取得新成效。一是住建办案“破冰”。充分发挥《岳阳市住房和城乡建设领域行政执法协作联动制度》作用，全年查办住建领域违法违规案件及案件线索112起，新发案件全部处置到位，陈年积案办理有序推进，强力规范了建筑和房地产市场秩序。二是燃气安全“加固”。大力推行燃气安全“三到位”工作模式，签订《燃气管线保护方案》超1200份，签订率达100%；开展瓶装液化气跨区域经营专项执法行动；查处案件12起，城区第三方施工损毁管道燃气案发量同比下降50%，有效遏制了燃气事故发生。三是广告拆违“治乱”。规范主城区户外广告管理，开展行政执法检查18次，排除安全隐患6处，立案查处1起；拆除云竞酒店、东升小学、岳阳大道等多处违规户外广告，净化了城市空间。四是园林监管“护绿”。加强中心城区主干道园林绿化巡查，及时处置损绿毁绿行为2起，守护了城市景观。五是固废执法“吹哨”。全力推进厨余垃圾执法工作，开展联合整治行动，查处经开区彭家畈村、楼区花果畈村等多处地沟油非法加工窝点，查获并无害化处理废弃油脂油渣约58吨，守护了市民“舌尖上的安全”。受理案件线索71起，查处厨余违法案件8起，开出全市首张罚单，释放我市规范厨余垃圾收集、运输、处置的强烈信号。扎实打好“蓝天保卫战”，签订文明施工承诺书42份，立案查处扬尘违法案件6起，推动空气质量持续改善。六是市政整治“亮剑”。全面铺开破道施工整治，整改问题43个，查处市政管网损毁案1起、破占道施工案5起，疏通了城市脉络。大力打击违规设置停车场行为，摸底调查道路停车场54个，开展城区道路临时停车泊位联合整治行动，拆除违规停车设施23处，一定程度缓解了“停车难”。七是专业考核“赋能”。党委班子成员带领6个专班分别参与，开展专业性考核536批次，发现问题1933个，考核结果第一时间向市局反馈并向各区通报，要求立行整改并组织复核，有效发挥了考核指挥棒的作用。</w:t>
      </w:r>
    </w:p>
    <w:p>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64" w:firstLineChars="200"/>
        <w:jc w:val="left"/>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pacing w:val="6"/>
          <w:kern w:val="0"/>
          <w:sz w:val="32"/>
          <w:szCs w:val="32"/>
          <w:lang w:val="en-US" w:eastAsia="zh-CN"/>
        </w:rPr>
        <w:t>3.</w:t>
      </w:r>
      <w:r>
        <w:rPr>
          <w:rFonts w:hint="eastAsia" w:ascii="仿宋_GB2312" w:hAnsi="仿宋_GB2312" w:eastAsia="仿宋_GB2312" w:cs="仿宋_GB2312"/>
          <w:spacing w:val="6"/>
          <w:kern w:val="0"/>
          <w:sz w:val="32"/>
          <w:szCs w:val="32"/>
        </w:rPr>
        <w:t>形象之“变”，标兵单位形象魅力持续彰显。以“文明标兵单位”授牌为契机，紧扣“内强素质、外塑形象”工作目标，不断创新创建载体、丰富创建内容，文明创建工作实现新的跨越。一是上下同步，安全形势稳定向好。开展禁毒宣传“五个一”活动，完成新任新进人员毛发检测涉毒筛查，筑牢防毒堡垒。妥善处理信访投诉4件，信访工作实现“控新治旧”。办公楼维修提质、电子监控全面覆盖、公章及公务用车规范管理、消防培训演练、“除四害”等务实举措，全方位打造了安全稳定环境。二是内外兼修，为民形象更加凸显。处理回复省（市）长信箱、12345热线等市民投诉1600余件；按“包容审慎”原则减免处罚合规陈述申辩案件25起，践行了为民初心。把志愿服务与社区联点、交通劝导、乡村振兴、普法宣传、走访慰问、爱心温暖等有机结合，累计服务170余次、超3700小时，彰显了为民情怀。积极应对低温雨雪冰冻天气，制定应急预案，全员出动作战，保障市民出行安全，累计清理积雪超上万平米，扛牢了为民责任。全年8次电视台专题报道和50余篇新闻通讯，刷屏信息网版面，占据公众号显位，获数万次浏览，提升了单位形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beforeLines="50" w:line="600" w:lineRule="exact"/>
        <w:ind w:right="11" w:rightChars="0" w:firstLine="666" w:firstLineChars="200"/>
        <w:jc w:val="both"/>
        <w:textAlignment w:val="baseline"/>
        <w:rPr>
          <w:rFonts w:hint="eastAsia" w:ascii="楷体_GB2312" w:hAnsi="楷体_GB2312" w:eastAsia="楷体_GB2312" w:cs="楷体_GB2312"/>
          <w:b/>
          <w:bCs/>
          <w:spacing w:val="6"/>
          <w:kern w:val="0"/>
          <w:sz w:val="32"/>
          <w:szCs w:val="32"/>
          <w:lang w:val="en-US" w:eastAsia="zh-CN"/>
        </w:rPr>
      </w:pPr>
      <w:r>
        <w:rPr>
          <w:rFonts w:hint="eastAsia" w:ascii="楷体_GB2312" w:hAnsi="楷体_GB2312" w:eastAsia="楷体_GB2312" w:cs="楷体_GB2312"/>
          <w:b/>
          <w:bCs/>
          <w:spacing w:val="6"/>
          <w:kern w:val="0"/>
          <w:sz w:val="32"/>
          <w:szCs w:val="32"/>
          <w:lang w:val="en-US" w:eastAsia="zh-CN"/>
        </w:rPr>
        <w:t>（三）资金支出绩效管理情况</w:t>
      </w:r>
    </w:p>
    <w:p>
      <w:pPr>
        <w:pStyle w:val="2"/>
        <w:keepNext w:val="0"/>
        <w:keepLines w:val="0"/>
        <w:pageBreakBefore w:val="0"/>
        <w:numPr>
          <w:ilvl w:val="0"/>
          <w:numId w:val="0"/>
        </w:numPr>
        <w:wordWrap/>
        <w:overflowPunct/>
        <w:topLinePunct w:val="0"/>
        <w:bidi w:val="0"/>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w:t>
      </w:r>
      <w:r>
        <w:rPr>
          <w:rFonts w:hint="eastAsia" w:ascii="仿宋_GB2312" w:hAnsi="宋体" w:eastAsia="仿宋_GB2312" w:cs="宋体"/>
          <w:sz w:val="32"/>
          <w:szCs w:val="32"/>
          <w:highlight w:val="none"/>
        </w:rPr>
        <w:t>《中华人民共和国预算法》</w:t>
      </w:r>
      <w:r>
        <w:rPr>
          <w:rFonts w:hint="eastAsia" w:ascii="仿宋_GB2312" w:hAnsi="宋体" w:eastAsia="仿宋_GB2312" w:cs="宋体"/>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《政府会计制度》</w:t>
      </w:r>
      <w:r>
        <w:rPr>
          <w:rFonts w:hint="eastAsia" w:ascii="仿宋_GB2312" w:hAnsi="宋体" w:eastAsia="仿宋_GB2312" w:cs="宋体"/>
          <w:sz w:val="32"/>
          <w:szCs w:val="32"/>
          <w:highlight w:val="none"/>
          <w:lang w:val="en-US" w:eastAsia="zh-CN"/>
        </w:rPr>
        <w:t>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中共岳阳市委办公室 岳阳市人民政府办公室关于印发</w:t>
      </w:r>
      <w:r>
        <w:rPr>
          <w:rFonts w:hint="eastAsia" w:ascii="仿宋" w:hAnsi="仿宋" w:eastAsia="仿宋" w:cs="仿宋"/>
          <w:color w:val="auto"/>
          <w:sz w:val="32"/>
          <w:szCs w:val="32"/>
          <w:lang w:val="en-US" w:eastAsia="zh-CN"/>
        </w:rPr>
        <w:t>&lt;</w:t>
      </w:r>
      <w:r>
        <w:rPr>
          <w:rFonts w:hint="eastAsia" w:ascii="仿宋_GB2312" w:hAnsi="仿宋_GB2312" w:eastAsia="仿宋_GB2312" w:cs="仿宋_GB2312"/>
          <w:color w:val="auto"/>
          <w:sz w:val="32"/>
          <w:szCs w:val="32"/>
          <w:lang w:val="en-US" w:eastAsia="zh-CN"/>
        </w:rPr>
        <w:t>岳阳市</w:t>
      </w:r>
      <w:r>
        <w:rPr>
          <w:rFonts w:hint="eastAsia" w:ascii="仿宋_GB2312" w:hAnsi="仿宋_GB2312" w:eastAsia="仿宋_GB2312" w:cs="仿宋_GB2312"/>
          <w:color w:val="auto"/>
          <w:sz w:val="32"/>
          <w:szCs w:val="32"/>
        </w:rPr>
        <w:t>预算绩效管理</w:t>
      </w:r>
      <w:r>
        <w:rPr>
          <w:rFonts w:hint="eastAsia" w:ascii="仿宋_GB2312" w:hAnsi="仿宋_GB2312" w:eastAsia="仿宋_GB2312" w:cs="仿宋_GB2312"/>
          <w:color w:val="auto"/>
          <w:sz w:val="32"/>
          <w:szCs w:val="32"/>
          <w:lang w:val="en-US" w:eastAsia="zh-CN"/>
        </w:rPr>
        <w:t>实施办法&gt;</w:t>
      </w:r>
      <w:r>
        <w:rPr>
          <w:rFonts w:hint="eastAsia" w:ascii="仿宋_GB2312" w:hAnsi="仿宋_GB2312" w:eastAsia="仿宋_GB2312" w:cs="仿宋_GB2312"/>
          <w:color w:val="auto"/>
          <w:sz w:val="32"/>
          <w:szCs w:val="32"/>
        </w:rPr>
        <w:t>的通知》（岳办</w:t>
      </w:r>
      <w:r>
        <w:rPr>
          <w:rFonts w:hint="eastAsia" w:ascii="仿宋_GB2312" w:hAnsi="仿宋_GB2312" w:eastAsia="仿宋_GB2312" w:cs="仿宋_GB2312"/>
          <w:color w:val="auto"/>
          <w:sz w:val="32"/>
          <w:szCs w:val="32"/>
          <w:lang w:val="en-US" w:eastAsia="zh-CN"/>
        </w:rPr>
        <w:t>发</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sz w:val="32"/>
          <w:szCs w:val="32"/>
          <w:lang w:val="en-US" w:eastAsia="zh-CN"/>
        </w:rPr>
        <w:t>及其他相关文件精神，支队成立了绩效评价和监督小组，定期开展相关工作。</w:t>
      </w:r>
    </w:p>
    <w:p>
      <w:pPr>
        <w:pStyle w:val="3"/>
        <w:keepNext w:val="0"/>
        <w:keepLines w:val="0"/>
        <w:pageBreakBefore w:val="0"/>
        <w:wordWrap/>
        <w:overflowPunct/>
        <w:topLinePunct w:val="0"/>
        <w:bidi w:val="0"/>
        <w:spacing w:line="600" w:lineRule="exact"/>
        <w:ind w:left="0" w:leftChars="0" w:firstLine="642" w:firstLineChars="200"/>
        <w:jc w:val="both"/>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 w:eastAsia="zh-CN"/>
        </w:rPr>
        <w:t>1</w:t>
      </w:r>
      <w:r>
        <w:rPr>
          <w:rFonts w:hint="eastAsia" w:ascii="仿宋_GB2312" w:hAnsi="仿宋_GB2312" w:eastAsia="仿宋_GB2312" w:cs="仿宋_GB2312"/>
          <w:b/>
          <w:bCs/>
          <w:sz w:val="32"/>
          <w:szCs w:val="32"/>
          <w:lang w:val="en" w:eastAsia="zh-CN"/>
        </w:rPr>
        <w:t>、</w:t>
      </w:r>
      <w:r>
        <w:rPr>
          <w:rFonts w:hint="eastAsia" w:ascii="仿宋_GB2312" w:hAnsi="仿宋_GB2312" w:eastAsia="仿宋_GB2312" w:cs="仿宋_GB2312"/>
          <w:b/>
          <w:bCs/>
          <w:sz w:val="32"/>
          <w:szCs w:val="32"/>
          <w:lang w:val="en-US" w:eastAsia="zh-CN"/>
        </w:rPr>
        <w:t>预算及绩效管理</w:t>
      </w:r>
    </w:p>
    <w:p>
      <w:pPr>
        <w:pStyle w:val="2"/>
        <w:keepNext w:val="0"/>
        <w:keepLines w:val="0"/>
        <w:pageBreakBefore w:val="0"/>
        <w:wordWrap/>
        <w:overflowPunct/>
        <w:topLinePunct w:val="0"/>
        <w:bidi w:val="0"/>
        <w:spacing w:line="600" w:lineRule="exact"/>
        <w:ind w:firstLine="664" w:firstLineChars="200"/>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加强</w:t>
      </w:r>
      <w:r>
        <w:rPr>
          <w:rFonts w:hint="eastAsia" w:ascii="仿宋_GB2312" w:hAnsi="仿宋_GB2312" w:eastAsia="仿宋_GB2312" w:cs="仿宋_GB2312"/>
          <w:spacing w:val="6"/>
          <w:kern w:val="0"/>
          <w:sz w:val="32"/>
          <w:szCs w:val="32"/>
        </w:rPr>
        <w:t>预算管理</w:t>
      </w:r>
      <w:r>
        <w:rPr>
          <w:rFonts w:hint="eastAsia" w:ascii="仿宋_GB2312" w:hAnsi="仿宋_GB2312" w:eastAsia="仿宋_GB2312" w:cs="仿宋_GB2312"/>
          <w:spacing w:val="6"/>
          <w:kern w:val="0"/>
          <w:sz w:val="32"/>
          <w:szCs w:val="32"/>
          <w:lang w:val="en-US" w:eastAsia="zh-CN"/>
        </w:rPr>
        <w:t>，从预算编制环节入手，编制</w:t>
      </w:r>
      <w:r>
        <w:rPr>
          <w:rFonts w:hint="eastAsia" w:ascii="仿宋_GB2312" w:hAnsi="仿宋_GB2312" w:eastAsia="仿宋_GB2312" w:cs="仿宋_GB2312"/>
          <w:spacing w:val="6"/>
          <w:kern w:val="0"/>
          <w:sz w:val="32"/>
          <w:szCs w:val="32"/>
        </w:rPr>
        <w:t>资金预算</w:t>
      </w:r>
      <w:r>
        <w:rPr>
          <w:rFonts w:hint="eastAsia" w:ascii="仿宋_GB2312" w:hAnsi="仿宋_GB2312" w:eastAsia="仿宋_GB2312" w:cs="仿宋_GB2312"/>
          <w:spacing w:val="6"/>
          <w:kern w:val="0"/>
          <w:sz w:val="32"/>
          <w:szCs w:val="32"/>
          <w:lang w:val="en-US" w:eastAsia="zh-CN"/>
        </w:rPr>
        <w:t>必须先</w:t>
      </w:r>
      <w:r>
        <w:rPr>
          <w:rFonts w:hint="eastAsia" w:ascii="仿宋_GB2312" w:hAnsi="仿宋_GB2312" w:eastAsia="仿宋_GB2312" w:cs="仿宋_GB2312"/>
          <w:spacing w:val="6"/>
          <w:kern w:val="0"/>
          <w:sz w:val="32"/>
          <w:szCs w:val="32"/>
        </w:rPr>
        <w:t>编制</w:t>
      </w:r>
      <w:r>
        <w:rPr>
          <w:rFonts w:hint="eastAsia" w:ascii="仿宋_GB2312" w:hAnsi="仿宋_GB2312" w:eastAsia="仿宋_GB2312" w:cs="仿宋_GB2312"/>
          <w:spacing w:val="6"/>
          <w:kern w:val="0"/>
          <w:sz w:val="32"/>
          <w:szCs w:val="32"/>
          <w:lang w:val="en-US" w:eastAsia="zh-CN"/>
        </w:rPr>
        <w:t>预算绩效</w:t>
      </w:r>
      <w:r>
        <w:rPr>
          <w:rFonts w:hint="eastAsia" w:ascii="仿宋_GB2312" w:hAnsi="仿宋_GB2312" w:eastAsia="仿宋_GB2312" w:cs="仿宋_GB2312"/>
          <w:spacing w:val="6"/>
          <w:kern w:val="0"/>
          <w:sz w:val="32"/>
          <w:szCs w:val="32"/>
        </w:rPr>
        <w:t>目标</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各部门、大队根据支队年度工作计划分别制订所负责项目绩效目标草案，财务汇总审核后提交支队办公会研究，做到了资金预算有目标，确保财政资金支出效益。</w:t>
      </w:r>
    </w:p>
    <w:p>
      <w:pPr>
        <w:pStyle w:val="2"/>
        <w:keepNext w:val="0"/>
        <w:keepLines w:val="0"/>
        <w:pageBreakBefore w:val="0"/>
        <w:wordWrap/>
        <w:overflowPunct/>
        <w:topLinePunct w:val="0"/>
        <w:bidi w:val="0"/>
        <w:spacing w:line="600" w:lineRule="exact"/>
        <w:ind w:firstLine="664" w:firstLineChars="200"/>
        <w:rPr>
          <w:rFonts w:hint="default" w:eastAsia="宋体"/>
          <w:sz w:val="32"/>
          <w:szCs w:val="32"/>
          <w:lang w:val="en-US" w:eastAsia="zh-CN"/>
        </w:rPr>
      </w:pPr>
      <w:r>
        <w:rPr>
          <w:rFonts w:hint="eastAsia" w:ascii="仿宋_GB2312" w:hAnsi="仿宋_GB2312" w:eastAsia="仿宋_GB2312" w:cs="仿宋_GB2312"/>
          <w:spacing w:val="6"/>
          <w:kern w:val="0"/>
          <w:sz w:val="32"/>
          <w:szCs w:val="32"/>
          <w:lang w:val="en-US" w:eastAsia="zh-CN"/>
        </w:rPr>
        <w:t>依据</w:t>
      </w:r>
      <w:r>
        <w:rPr>
          <w:rFonts w:hint="eastAsia" w:ascii="仿宋_GB2312" w:hAnsi="仿宋_GB2312" w:eastAsia="仿宋_GB2312" w:cs="仿宋_GB2312"/>
          <w:color w:val="auto"/>
          <w:sz w:val="32"/>
          <w:szCs w:val="32"/>
          <w:lang w:eastAsia="zh-CN"/>
        </w:rPr>
        <w:t>岳阳市</w:t>
      </w:r>
      <w:r>
        <w:rPr>
          <w:rFonts w:hint="eastAsia" w:ascii="仿宋_GB2312" w:hAnsi="仿宋_GB2312" w:eastAsia="仿宋_GB2312" w:cs="仿宋_GB2312"/>
          <w:color w:val="auto"/>
          <w:sz w:val="32"/>
          <w:szCs w:val="32"/>
          <w:lang w:val="en-US" w:eastAsia="zh-CN"/>
        </w:rPr>
        <w:t>预算绩效管理领导小组文件《</w:t>
      </w:r>
      <w:r>
        <w:rPr>
          <w:rFonts w:hint="eastAsia" w:ascii="仿宋_GB2312" w:hAnsi="仿宋_GB2312" w:eastAsia="仿宋_GB2312" w:cs="仿宋_GB2312"/>
          <w:color w:val="auto"/>
          <w:sz w:val="32"/>
          <w:szCs w:val="32"/>
          <w:lang w:eastAsia="zh-CN"/>
        </w:rPr>
        <w:t>岳阳市</w:t>
      </w:r>
      <w:r>
        <w:rPr>
          <w:rFonts w:hint="eastAsia" w:ascii="仿宋_GB2312" w:hAnsi="仿宋_GB2312" w:eastAsia="仿宋_GB2312" w:cs="仿宋_GB2312"/>
          <w:color w:val="auto"/>
          <w:sz w:val="32"/>
          <w:szCs w:val="32"/>
          <w:lang w:val="en-US" w:eastAsia="zh-CN"/>
        </w:rPr>
        <w:t>预算绩效管理领导小组关于印发&lt;2023年度岳阳市绩效管理工作方案&gt;的通知》（岳绩效〔2023〕1号）和</w:t>
      </w:r>
      <w:r>
        <w:rPr>
          <w:rFonts w:hint="eastAsia" w:ascii="仿宋_GB2312" w:hAnsi="仿宋_GB2312" w:eastAsia="仿宋_GB2312" w:cs="仿宋_GB2312"/>
          <w:color w:val="auto"/>
          <w:sz w:val="32"/>
          <w:szCs w:val="32"/>
          <w:lang w:eastAsia="zh-CN"/>
        </w:rPr>
        <w:t>岳阳市财政局</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岳阳市财政局</w:t>
      </w:r>
      <w:r>
        <w:rPr>
          <w:rFonts w:hint="eastAsia" w:ascii="仿宋_GB2312" w:hAnsi="仿宋_GB2312" w:eastAsia="仿宋_GB2312" w:cs="仿宋_GB2312"/>
          <w:color w:val="auto"/>
          <w:sz w:val="32"/>
          <w:szCs w:val="32"/>
          <w:lang w:val="en-US" w:eastAsia="zh-CN"/>
        </w:rPr>
        <w:t>关于印发&lt;岳阳市市级预算部门绩效自评操作规程&gt;的通知》（岳财函〔2022〕209号）文件精神，</w:t>
      </w:r>
      <w:r>
        <w:rPr>
          <w:rFonts w:hint="eastAsia" w:ascii="仿宋_GB2312" w:hAnsi="仿宋_GB2312" w:eastAsia="仿宋_GB2312" w:cs="仿宋_GB2312"/>
          <w:sz w:val="32"/>
          <w:szCs w:val="32"/>
          <w:lang w:val="en-US" w:eastAsia="zh-CN"/>
        </w:rPr>
        <w:t>结合</w:t>
      </w:r>
      <w:r>
        <w:rPr>
          <w:rFonts w:hint="eastAsia" w:ascii="仿宋_GB2312" w:eastAsia="仿宋_GB2312"/>
          <w:sz w:val="32"/>
          <w:szCs w:val="32"/>
          <w:lang w:val="en-US" w:eastAsia="zh-CN"/>
        </w:rPr>
        <w:t>岳阳市2023年市本级财政预算批复和预算绩效目标，支队</w:t>
      </w:r>
      <w:r>
        <w:rPr>
          <w:rFonts w:hint="eastAsia" w:ascii="仿宋_GB2312" w:hAnsi="仿宋_GB2312" w:eastAsia="仿宋_GB2312" w:cs="仿宋_GB2312"/>
          <w:spacing w:val="6"/>
          <w:kern w:val="0"/>
          <w:sz w:val="32"/>
          <w:szCs w:val="32"/>
          <w:lang w:val="en-US" w:eastAsia="zh-CN"/>
        </w:rPr>
        <w:t>于2023年9月底，组织开展了</w:t>
      </w:r>
      <w:r>
        <w:rPr>
          <w:rFonts w:hint="eastAsia" w:ascii="仿宋_GB2312" w:hAnsi="仿宋_GB2312" w:eastAsia="仿宋_GB2312" w:cs="仿宋_GB2312"/>
          <w:spacing w:val="6"/>
          <w:kern w:val="0"/>
          <w:sz w:val="32"/>
          <w:szCs w:val="32"/>
        </w:rPr>
        <w:t>预算执行监控</w:t>
      </w:r>
      <w:r>
        <w:rPr>
          <w:rFonts w:hint="eastAsia" w:ascii="仿宋_GB2312" w:hAnsi="仿宋_GB2312" w:eastAsia="仿宋_GB2312" w:cs="仿宋_GB2312"/>
          <w:spacing w:val="6"/>
          <w:kern w:val="0"/>
          <w:sz w:val="32"/>
          <w:szCs w:val="32"/>
          <w:lang w:val="en-US" w:eastAsia="zh-CN"/>
        </w:rPr>
        <w:t>工作，适时分析预算执行过程中的</w:t>
      </w:r>
      <w:r>
        <w:rPr>
          <w:rFonts w:hint="eastAsia" w:ascii="仿宋_GB2312" w:hAnsi="仿宋_GB2312" w:eastAsia="仿宋_GB2312" w:cs="仿宋_GB2312"/>
          <w:color w:val="000000"/>
          <w:sz w:val="32"/>
          <w:szCs w:val="32"/>
        </w:rPr>
        <w:t>偏差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并及时制定</w:t>
      </w:r>
      <w:r>
        <w:rPr>
          <w:rFonts w:hint="eastAsia" w:ascii="仿宋_GB2312" w:hAnsi="仿宋_GB2312" w:eastAsia="仿宋_GB2312" w:cs="仿宋_GB2312"/>
          <w:color w:val="000000"/>
          <w:sz w:val="32"/>
          <w:szCs w:val="32"/>
        </w:rPr>
        <w:t>改进措施</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pacing w:val="6"/>
          <w:kern w:val="0"/>
          <w:sz w:val="32"/>
          <w:szCs w:val="32"/>
          <w:lang w:val="en-US" w:eastAsia="zh-CN"/>
        </w:rPr>
        <w:t>2024年5 月，开始组织对上年经费支出进行自评工作，做到了</w:t>
      </w:r>
      <w:r>
        <w:rPr>
          <w:rFonts w:hint="eastAsia" w:ascii="仿宋_GB2312" w:hAnsi="仿宋_GB2312" w:eastAsia="仿宋_GB2312" w:cs="仿宋_GB2312"/>
          <w:spacing w:val="6"/>
          <w:kern w:val="0"/>
          <w:sz w:val="32"/>
          <w:szCs w:val="32"/>
        </w:rPr>
        <w:t>预算</w:t>
      </w:r>
      <w:r>
        <w:rPr>
          <w:rFonts w:hint="eastAsia" w:ascii="仿宋_GB2312" w:hAnsi="仿宋_GB2312" w:eastAsia="仿宋_GB2312" w:cs="仿宋_GB2312"/>
          <w:spacing w:val="6"/>
          <w:kern w:val="0"/>
          <w:sz w:val="32"/>
          <w:szCs w:val="32"/>
          <w:lang w:val="en-US" w:eastAsia="zh-CN"/>
        </w:rPr>
        <w:t>执行</w:t>
      </w:r>
      <w:r>
        <w:rPr>
          <w:rFonts w:hint="eastAsia" w:ascii="仿宋_GB2312" w:hAnsi="仿宋_GB2312" w:eastAsia="仿宋_GB2312" w:cs="仿宋_GB2312"/>
          <w:spacing w:val="6"/>
          <w:kern w:val="0"/>
          <w:sz w:val="32"/>
          <w:szCs w:val="32"/>
        </w:rPr>
        <w:t>完成有评价</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使单位经济业务从事前、事中、事后得到</w:t>
      </w:r>
      <w:r>
        <w:rPr>
          <w:rFonts w:hint="eastAsia" w:ascii="仿宋_GB2312" w:hAnsi="仿宋_GB2312" w:eastAsia="仿宋_GB2312" w:cs="仿宋_GB2312"/>
          <w:spacing w:val="6"/>
          <w:kern w:val="0"/>
          <w:sz w:val="32"/>
          <w:szCs w:val="32"/>
          <w:lang w:val="en-US" w:eastAsia="zh-CN"/>
        </w:rPr>
        <w:t>了</w:t>
      </w:r>
      <w:r>
        <w:rPr>
          <w:rFonts w:hint="eastAsia" w:ascii="仿宋_GB2312" w:hAnsi="仿宋_GB2312" w:eastAsia="仿宋_GB2312" w:cs="仿宋_GB2312"/>
          <w:spacing w:val="6"/>
          <w:kern w:val="0"/>
          <w:sz w:val="32"/>
          <w:szCs w:val="32"/>
        </w:rPr>
        <w:t>有效管控</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增强了单位管理人员预算意识和绩效意识</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提升了预算资金支出绩效。</w:t>
      </w:r>
    </w:p>
    <w:p>
      <w:pPr>
        <w:keepNext w:val="0"/>
        <w:keepLines w:val="0"/>
        <w:pageBreakBefore w:val="0"/>
        <w:kinsoku/>
        <w:wordWrap/>
        <w:overflowPunct/>
        <w:topLinePunct w:val="0"/>
        <w:autoSpaceDE/>
        <w:autoSpaceDN/>
        <w:bidi w:val="0"/>
        <w:adjustRightInd/>
        <w:snapToGrid/>
        <w:spacing w:line="600" w:lineRule="exact"/>
        <w:ind w:firstLine="642" w:firstLineChars="200"/>
        <w:jc w:val="left"/>
        <w:outlineLvl w:val="2"/>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sz w:val="32"/>
          <w:szCs w:val="32"/>
        </w:rPr>
        <w:t>资金管理情况</w:t>
      </w:r>
    </w:p>
    <w:p>
      <w:pPr>
        <w:ind w:firstLine="640" w:firstLineChars="200"/>
        <w:rPr>
          <w:rFonts w:hint="eastAsia" w:ascii="仿宋_GB2312" w:hAnsi="仿宋_GB2312" w:eastAsia="仿宋_GB2312" w:cs="仿宋_GB2312"/>
          <w:bCs/>
          <w:color w:val="FF0000"/>
          <w:sz w:val="32"/>
          <w:szCs w:val="32"/>
          <w:lang w:val="en-US" w:eastAsia="zh-CN"/>
        </w:rPr>
      </w:pPr>
      <w:r>
        <w:rPr>
          <w:rFonts w:hint="eastAsia" w:ascii="CESI仿宋-GB2312" w:hAnsi="CESI仿宋-GB2312" w:eastAsia="CESI仿宋-GB2312" w:cs="CESI仿宋-GB2312"/>
          <w:sz w:val="32"/>
          <w:szCs w:val="32"/>
          <w:lang w:val="en-US" w:eastAsia="zh-CN"/>
        </w:rPr>
        <w:t>进一步优化了各项管理制度，各部门、大队严格按照《财务管理制度》、《</w:t>
      </w:r>
      <w:r>
        <w:rPr>
          <w:rFonts w:hint="eastAsia" w:ascii="CESI仿宋-GB2312" w:hAnsi="CESI仿宋-GB2312" w:eastAsia="CESI仿宋-GB2312" w:cs="CESI仿宋-GB2312"/>
          <w:sz w:val="32"/>
          <w:szCs w:val="32"/>
        </w:rPr>
        <w:t>岳阳市城市管理综合行政执法支队</w:t>
      </w:r>
      <w:r>
        <w:rPr>
          <w:rFonts w:hint="eastAsia" w:ascii="CESI仿宋-GB2312" w:hAnsi="CESI仿宋-GB2312" w:eastAsia="CESI仿宋-GB2312" w:cs="CESI仿宋-GB2312"/>
          <w:sz w:val="32"/>
          <w:szCs w:val="32"/>
          <w:lang w:val="en-US" w:eastAsia="zh-CN"/>
        </w:rPr>
        <w:t>内部控制手册》、《管理考评实施方案》、《规范行政执法程序的规定》、《协管员管理暂行规定》等规章制度执行，支队实行定期讲评制度，每季度公开评选先进集体，纪检部门负责对规章制度实施的具体协调、监督，起到了以讲促进，以评促干的良好效果，有力推动了全年目标任务完成。</w:t>
      </w:r>
    </w:p>
    <w:p>
      <w:pPr>
        <w:keepNext w:val="0"/>
        <w:keepLines w:val="0"/>
        <w:pageBreakBefore w:val="0"/>
        <w:wordWrap/>
        <w:overflowPunct/>
        <w:topLinePunct w:val="0"/>
        <w:bidi w:val="0"/>
        <w:spacing w:line="600" w:lineRule="exact"/>
        <w:ind w:firstLine="640" w:firstLineChars="200"/>
        <w:jc w:val="left"/>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专项资金管理经依法批准的预算执行，按照专款专用的原则，进行日常财务管理和会计核算，配合市财政、监察和审计等部门对项目专项资金的使用和管理情况进行监督检查，并开展绩效评价工作。</w:t>
      </w:r>
    </w:p>
    <w:p>
      <w:pPr>
        <w:pStyle w:val="2"/>
        <w:keepNext w:val="0"/>
        <w:keepLines w:val="0"/>
        <w:pageBreakBefore w:val="0"/>
        <w:wordWrap/>
        <w:overflowPunct/>
        <w:topLinePunct w:val="0"/>
        <w:bidi w:val="0"/>
        <w:spacing w:line="600" w:lineRule="exact"/>
        <w:ind w:firstLine="642" w:firstLineChars="200"/>
        <w:jc w:val="left"/>
        <w:rPr>
          <w:rFonts w:hint="default"/>
          <w:b/>
          <w:bCs w:val="0"/>
          <w:sz w:val="32"/>
          <w:szCs w:val="32"/>
          <w:lang w:val="en-US" w:eastAsia="zh-CN"/>
        </w:rPr>
      </w:pPr>
      <w:r>
        <w:rPr>
          <w:rFonts w:hint="eastAsia" w:ascii="仿宋_GB2312" w:hAnsi="仿宋_GB2312" w:eastAsia="仿宋_GB2312" w:cs="仿宋_GB2312"/>
          <w:b/>
          <w:bCs w:val="0"/>
          <w:sz w:val="32"/>
          <w:szCs w:val="32"/>
          <w:highlight w:val="none"/>
          <w:lang w:val="en-US" w:eastAsia="zh-CN"/>
        </w:rPr>
        <w:t>3、资产管理情况</w:t>
      </w:r>
    </w:p>
    <w:p>
      <w:pPr>
        <w:pStyle w:val="3"/>
        <w:keepNext w:val="0"/>
        <w:keepLines w:val="0"/>
        <w:pageBreakBefore w:val="0"/>
        <w:wordWrap/>
        <w:overflowPunct/>
        <w:topLinePunct w:val="0"/>
        <w:bidi w:val="0"/>
        <w:spacing w:line="600" w:lineRule="exact"/>
        <w:ind w:left="0" w:leftChars="0" w:firstLine="0" w:firstLineChars="0"/>
        <w:jc w:val="left"/>
        <w:rPr>
          <w:rFonts w:hint="default"/>
          <w:sz w:val="32"/>
          <w:szCs w:val="32"/>
        </w:rPr>
      </w:pPr>
      <w:r>
        <w:rPr>
          <w:rFonts w:hint="eastAsia" w:ascii="仿宋_GB2312" w:hAnsi="仿宋_GB2312" w:eastAsia="仿宋_GB2312" w:cs="仿宋_GB2312"/>
          <w:bCs/>
          <w:sz w:val="32"/>
          <w:szCs w:val="32"/>
          <w:highlight w:val="none"/>
          <w:lang w:val="en-US" w:eastAsia="zh-CN"/>
        </w:rPr>
        <w:t xml:space="preserve">    定期开展“三资”清查和资产盘点工作，提高资产资源利用效率。根据支队工作特点，适时修订了实物管理制度，加强实物管理，定期开展清查盘点工作。按照厉行节约、物尽其用的原则，资产管理采取统一建帐、统一核算管理，对每件固定资产使用明确保管职责，闲置资产由办公室统一调整，合理流转，发挥其使用效益，确保以最精简的资产保障单位履职。固定资产配置和处置，均按规定程序办理，并严格按固定资产管理办法进行核算及管理。</w:t>
      </w:r>
    </w:p>
    <w:p>
      <w:pPr>
        <w:keepNext w:val="0"/>
        <w:keepLines w:val="0"/>
        <w:pageBreakBefore w:val="0"/>
        <w:wordWrap/>
        <w:overflowPunct/>
        <w:topLinePunct w:val="0"/>
        <w:bidi w:val="0"/>
        <w:spacing w:line="600" w:lineRule="exact"/>
        <w:ind w:firstLine="642"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4、政府采购管理情况</w:t>
      </w:r>
    </w:p>
    <w:p>
      <w:pPr>
        <w:pStyle w:val="2"/>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2023年，支队政府采购项目均严格按照</w:t>
      </w:r>
      <w:r>
        <w:rPr>
          <w:rFonts w:hint="eastAsia" w:ascii="仿宋_GB2312" w:hAnsi="仿宋_GB2312" w:eastAsia="仿宋_GB2312" w:cs="仿宋_GB2312"/>
          <w:color w:val="auto"/>
          <w:sz w:val="32"/>
          <w:szCs w:val="32"/>
        </w:rPr>
        <w:t>《中华人民共和国政府采购法》</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岳阳市财政局关于印发《岳阳市预算单位政府集中采购目录及标准指引（2022版）》的通知（岳财发〔2022〕2号和</w:t>
      </w:r>
      <w:r>
        <w:rPr>
          <w:rFonts w:hint="eastAsia" w:ascii="仿宋_GB2312" w:hAnsi="仿宋_GB2312" w:eastAsia="仿宋_GB2312" w:cs="仿宋_GB2312"/>
          <w:sz w:val="32"/>
          <w:szCs w:val="32"/>
        </w:rPr>
        <w:t>湖南省财政厅印发的《湖南省政府采购电子卖场管理办法》（湘财购［2019]27号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等文件规定的标准和程序执行，全年累计政府采购交易额为434.00万元。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left"/>
        <w:textAlignment w:val="auto"/>
        <w:rPr>
          <w:rFonts w:hint="eastAsia" w:ascii="仿宋_GB2312" w:hAnsi="仿宋_GB2312" w:eastAsia="仿宋_GB2312" w:cs="仿宋_GB2312"/>
          <w:b/>
          <w:bCs w:val="0"/>
          <w:sz w:val="32"/>
          <w:szCs w:val="32"/>
          <w:highlight w:val="none"/>
          <w:lang w:val="en-US" w:eastAsia="zh-CN"/>
        </w:rPr>
      </w:pPr>
      <w:r>
        <w:rPr>
          <w:rFonts w:hint="eastAsia" w:ascii="仿宋_GB2312" w:hAnsi="仿宋_GB2312" w:eastAsia="仿宋_GB2312" w:cs="仿宋_GB2312"/>
          <w:b/>
          <w:bCs w:val="0"/>
          <w:sz w:val="32"/>
          <w:szCs w:val="32"/>
          <w:highlight w:val="none"/>
          <w:lang w:val="en-US" w:eastAsia="zh-CN"/>
        </w:rPr>
        <w:t>5、运行成本和管理效率</w:t>
      </w:r>
    </w:p>
    <w:p>
      <w:pPr>
        <w:pStyle w:val="2"/>
        <w:keepNext w:val="0"/>
        <w:keepLines w:val="0"/>
        <w:pageBreakBefore w:val="0"/>
        <w:numPr>
          <w:ilvl w:val="0"/>
          <w:numId w:val="0"/>
        </w:numPr>
        <w:wordWrap/>
        <w:overflowPunct/>
        <w:topLinePunct w:val="0"/>
        <w:bidi w:val="0"/>
        <w:spacing w:line="600" w:lineRule="exact"/>
        <w:ind w:firstLine="640" w:firstLineChars="200"/>
        <w:jc w:val="left"/>
        <w:rPr>
          <w:rFonts w:hint="eastAsia"/>
          <w:sz w:val="32"/>
          <w:szCs w:val="32"/>
          <w:lang w:val="en-US" w:eastAsia="zh-CN"/>
        </w:rPr>
      </w:pPr>
      <w:r>
        <w:rPr>
          <w:rFonts w:hint="eastAsia" w:ascii="仿宋_GB2312" w:hAnsi="仿宋_GB2312" w:eastAsia="仿宋_GB2312" w:cs="仿宋_GB2312"/>
          <w:sz w:val="32"/>
          <w:szCs w:val="32"/>
          <w:lang w:val="en-US" w:eastAsia="zh-CN"/>
        </w:rPr>
        <w:t>2023年，支队全年预算总金额为2046.90万元（其中一般公共预算金额为2044.78万元、其他资金预算金额为2.12万元），实际支出总金额为1988.66万元，其中基本支出金额为1584.27万元（含其他资金支出1.83万元）、项目支出金额为404.39万元，年度预算执行率为96.72%，单位运行成本控制在年度预算金额内，资金周转利用效率高。</w:t>
      </w:r>
    </w:p>
    <w:p>
      <w:pPr>
        <w:pStyle w:val="2"/>
        <w:keepNext w:val="0"/>
        <w:keepLines w:val="0"/>
        <w:pageBreakBefore w:val="0"/>
        <w:numPr>
          <w:ilvl w:val="0"/>
          <w:numId w:val="0"/>
        </w:numPr>
        <w:wordWrap/>
        <w:overflowPunct/>
        <w:topLinePunct w:val="0"/>
        <w:bidi w:val="0"/>
        <w:spacing w:line="600" w:lineRule="exact"/>
        <w:ind w:firstLine="640" w:firstLineChars="200"/>
        <w:jc w:val="left"/>
        <w:rPr>
          <w:rFonts w:hint="default"/>
          <w:sz w:val="32"/>
          <w:szCs w:val="32"/>
        </w:rPr>
      </w:pPr>
      <w:r>
        <w:rPr>
          <w:rFonts w:hint="eastAsia" w:ascii="黑体" w:hAnsi="黑体" w:eastAsia="黑体" w:cs="黑体"/>
          <w:bCs/>
          <w:sz w:val="32"/>
          <w:szCs w:val="32"/>
          <w:highlight w:val="none"/>
          <w:lang w:val="en-US" w:eastAsia="zh-CN"/>
        </w:rPr>
        <w:t>（四）履职效能、社会效应、可持续发展能力和服务对象满意度等方面情况</w:t>
      </w:r>
    </w:p>
    <w:p>
      <w:pPr>
        <w:pStyle w:val="3"/>
        <w:keepNext w:val="0"/>
        <w:keepLines w:val="0"/>
        <w:pageBreakBefore w:val="0"/>
        <w:wordWrap/>
        <w:overflowPunct/>
        <w:topLinePunct w:val="0"/>
        <w:bidi w:val="0"/>
        <w:spacing w:line="600" w:lineRule="exact"/>
        <w:ind w:left="0" w:leftChars="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支队始终坚持</w:t>
      </w:r>
      <w:r>
        <w:rPr>
          <w:rFonts w:hint="eastAsia" w:ascii="仿宋_GB2312" w:hAnsi="仿宋_GB2312" w:eastAsia="仿宋_GB2312" w:cs="仿宋_GB2312"/>
          <w:b w:val="0"/>
          <w:bCs w:val="0"/>
          <w:sz w:val="32"/>
          <w:szCs w:val="32"/>
        </w:rPr>
        <w:t>依法行政</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依法履职作为第一准则，严格按照法定权限和程序行使权力，运用法治思维和法治方式推动工作。</w:t>
      </w:r>
      <w:r>
        <w:rPr>
          <w:rFonts w:hint="eastAsia" w:ascii="仿宋_GB2312" w:hAnsi="仿宋_GB2312" w:eastAsia="仿宋_GB2312" w:cs="仿宋_GB2312"/>
          <w:sz w:val="32"/>
          <w:szCs w:val="32"/>
          <w:lang w:val="en-US" w:eastAsia="zh-CN"/>
        </w:rPr>
        <w:t>引入</w:t>
      </w:r>
      <w:r>
        <w:rPr>
          <w:rFonts w:hint="eastAsia" w:ascii="仿宋_GB2312" w:hAnsi="仿宋_GB2312" w:eastAsia="仿宋_GB2312" w:cs="仿宋_GB2312"/>
          <w:sz w:val="32"/>
          <w:szCs w:val="32"/>
        </w:rPr>
        <w:t>法律顾问服务工作，</w:t>
      </w:r>
      <w:r>
        <w:rPr>
          <w:rFonts w:hint="eastAsia" w:ascii="仿宋_GB2312" w:hAnsi="仿宋_GB2312" w:eastAsia="仿宋_GB2312" w:cs="仿宋_GB2312"/>
          <w:sz w:val="32"/>
          <w:szCs w:val="32"/>
          <w:lang w:val="en-US" w:eastAsia="zh-CN"/>
        </w:rPr>
        <w:t>实行</w:t>
      </w:r>
      <w:r>
        <w:rPr>
          <w:rFonts w:hint="eastAsia" w:ascii="仿宋_GB2312" w:hAnsi="仿宋_GB2312" w:eastAsia="仿宋_GB2312" w:cs="仿宋_GB2312"/>
          <w:sz w:val="32"/>
          <w:szCs w:val="32"/>
        </w:rPr>
        <w:t>律师驻队工作模式，切实预防化解行政争议。严格落实行政执法“三项制度”，定期开展行政执法案件评查，确保各项工作始终在法制框架内开展、阳光下运行。</w:t>
      </w:r>
    </w:p>
    <w:p>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40" w:firstLineChars="200"/>
        <w:jc w:val="left"/>
        <w:textAlignment w:val="baseline"/>
        <w:rPr>
          <w:rFonts w:hint="eastAsia" w:ascii="黑体" w:hAnsi="黑体" w:eastAsia="黑体" w:cs="黑体"/>
          <w:sz w:val="32"/>
          <w:szCs w:val="32"/>
          <w:highlight w:val="none"/>
          <w:lang w:eastAsia="zh-CN"/>
        </w:rPr>
      </w:pPr>
      <w:r>
        <w:rPr>
          <w:rFonts w:hint="eastAsia" w:ascii="仿宋_GB2312" w:hAnsi="仿宋_GB2312" w:eastAsia="仿宋_GB2312" w:cs="仿宋_GB2312"/>
          <w:b w:val="0"/>
          <w:bCs w:val="0"/>
          <w:sz w:val="32"/>
          <w:szCs w:val="32"/>
          <w:lang w:val="en-US" w:eastAsia="zh-CN"/>
        </w:rPr>
        <w:t>在坚持</w:t>
      </w:r>
      <w:r>
        <w:rPr>
          <w:rFonts w:hint="eastAsia" w:ascii="仿宋_GB2312" w:hAnsi="仿宋_GB2312" w:eastAsia="仿宋_GB2312" w:cs="仿宋_GB2312"/>
          <w:b w:val="0"/>
          <w:bCs w:val="0"/>
          <w:sz w:val="32"/>
          <w:szCs w:val="32"/>
        </w:rPr>
        <w:t>依法行政</w:t>
      </w:r>
      <w:r>
        <w:rPr>
          <w:rFonts w:hint="eastAsia" w:ascii="仿宋_GB2312" w:hAnsi="仿宋_GB2312" w:eastAsia="仿宋_GB2312" w:cs="仿宋_GB2312"/>
          <w:b w:val="0"/>
          <w:bCs w:val="0"/>
          <w:sz w:val="32"/>
          <w:szCs w:val="32"/>
          <w:lang w:val="en-US" w:eastAsia="zh-CN"/>
        </w:rPr>
        <w:t>的同时，以劝导教育与执法相结合的模式开展城市管理工作，</w:t>
      </w:r>
      <w:r>
        <w:rPr>
          <w:rFonts w:hint="eastAsia" w:ascii="仿宋_GB2312" w:hAnsi="仿宋_GB2312" w:eastAsia="仿宋_GB2312" w:cs="仿宋_GB2312"/>
          <w:sz w:val="32"/>
          <w:szCs w:val="32"/>
          <w:lang w:val="en-US" w:eastAsia="zh-CN"/>
        </w:rPr>
        <w:t>按</w:t>
      </w:r>
      <w:r>
        <w:rPr>
          <w:rFonts w:hint="eastAsia" w:ascii="仿宋_GB2312" w:hAnsi="仿宋_GB2312" w:eastAsia="仿宋_GB2312" w:cs="仿宋_GB2312"/>
          <w:sz w:val="32"/>
          <w:szCs w:val="32"/>
        </w:rPr>
        <w:t>“包容审慎”原则减免处罚合规陈述申辩案件25起，改变以往“一罚了之”模式，</w:t>
      </w:r>
      <w:r>
        <w:rPr>
          <w:rFonts w:hint="eastAsia" w:ascii="仿宋_GB2312" w:hAnsi="仿宋_GB2312" w:eastAsia="仿宋_GB2312" w:cs="仿宋_GB2312"/>
          <w:color w:val="auto"/>
          <w:sz w:val="32"/>
          <w:szCs w:val="32"/>
        </w:rPr>
        <w:t>实现</w:t>
      </w:r>
      <w:r>
        <w:rPr>
          <w:rFonts w:hint="eastAsia" w:ascii="仿宋_GB2312" w:hAnsi="仿宋_GB2312" w:eastAsia="仿宋_GB2312" w:cs="仿宋_GB2312"/>
          <w:color w:val="auto"/>
          <w:sz w:val="32"/>
          <w:szCs w:val="32"/>
          <w:lang w:val="en-US" w:eastAsia="zh-CN"/>
        </w:rPr>
        <w:t>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办理一</w:t>
      </w:r>
      <w:r>
        <w:rPr>
          <w:rFonts w:hint="eastAsia" w:ascii="仿宋_GB2312" w:hAnsi="仿宋_GB2312" w:eastAsia="仿宋_GB2312" w:cs="仿宋_GB2312"/>
          <w:color w:val="auto"/>
          <w:sz w:val="32"/>
          <w:szCs w:val="32"/>
        </w:rPr>
        <w:t>案、</w:t>
      </w:r>
      <w:r>
        <w:rPr>
          <w:rFonts w:hint="eastAsia" w:ascii="仿宋_GB2312" w:hAnsi="仿宋_GB2312" w:eastAsia="仿宋_GB2312" w:cs="仿宋_GB2312"/>
          <w:color w:val="auto"/>
          <w:sz w:val="32"/>
          <w:szCs w:val="32"/>
          <w:lang w:val="en-US" w:eastAsia="zh-CN"/>
        </w:rPr>
        <w:t>解决一类</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的执法效果与社会效果有机统一，践行了为民初心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助推了中心城区市容市貌整体提升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得到了上级领导的肯定和市民的普遍赞誉。</w:t>
      </w:r>
      <w:r>
        <w:rPr>
          <w:rFonts w:hint="eastAsia" w:ascii="仿宋_GB2312" w:hAnsi="仿宋_GB2312" w:eastAsia="仿宋_GB2312" w:cs="仿宋_GB2312"/>
          <w:spacing w:val="6"/>
          <w:kern w:val="0"/>
          <w:sz w:val="32"/>
          <w:szCs w:val="32"/>
        </w:rPr>
        <w:t>2023年，支队成功创建“市级文明标兵单位”。</w:t>
      </w:r>
    </w:p>
    <w:p>
      <w:pPr>
        <w:pStyle w:val="2"/>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b w:val="0"/>
          <w:bCs w:val="0"/>
          <w:sz w:val="32"/>
          <w:szCs w:val="32"/>
          <w:lang w:val="en-US" w:eastAsia="zh-CN"/>
        </w:rPr>
        <w:t>（五）评价结果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，岳阳市城市管理综合行政执法支队</w:t>
      </w:r>
      <w:r>
        <w:rPr>
          <w:rFonts w:hint="eastAsia" w:ascii="仿宋_GB2312" w:hAnsi="仿宋_GB2312" w:eastAsia="仿宋_GB2312" w:cs="仿宋_GB2312"/>
          <w:sz w:val="32"/>
          <w:szCs w:val="32"/>
        </w:rPr>
        <w:t>认真履行本部门职能职责，各部门年初目标任务</w:t>
      </w:r>
      <w:r>
        <w:rPr>
          <w:rFonts w:hint="eastAsia" w:ascii="仿宋_GB2312" w:hAnsi="仿宋_GB2312" w:eastAsia="仿宋_GB2312" w:cs="仿宋_GB2312"/>
          <w:sz w:val="32"/>
          <w:szCs w:val="32"/>
          <w:lang w:eastAsia="zh-CN"/>
        </w:rPr>
        <w:t>完成较好</w:t>
      </w:r>
      <w:r>
        <w:rPr>
          <w:rFonts w:hint="eastAsia" w:ascii="仿宋_GB2312" w:hAnsi="仿宋_GB2312" w:eastAsia="仿宋_GB2312" w:cs="仿宋_GB2312"/>
          <w:sz w:val="32"/>
          <w:szCs w:val="32"/>
        </w:rPr>
        <w:t>，预算成本控制较好，整体支出绩效良好，达到</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既定的目标要求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评价小组依</w:t>
      </w:r>
      <w:r>
        <w:rPr>
          <w:rFonts w:hint="eastAsia" w:ascii="仿宋_GB2312" w:hAnsi="仿宋_GB2312" w:eastAsia="仿宋_GB2312" w:cs="仿宋_GB2312"/>
          <w:sz w:val="32"/>
          <w:szCs w:val="32"/>
        </w:rPr>
        <w:t>据</w:t>
      </w:r>
      <w:r>
        <w:rPr>
          <w:rFonts w:hint="eastAsia" w:ascii="仿宋_GB2312" w:hAnsi="仿宋_GB2312" w:eastAsia="仿宋_GB2312" w:cs="仿宋_GB2312"/>
          <w:sz w:val="32"/>
          <w:szCs w:val="32"/>
          <w:lang w:val="en-US" w:eastAsia="zh-CN"/>
        </w:rPr>
        <w:t>岳阳市财政局《关于印发&lt;岳阳市市级预算部门绩效自评操作规程&gt;的通知》岳财函〔2022〕209号文件规定相关</w:t>
      </w:r>
      <w:r>
        <w:rPr>
          <w:rFonts w:hint="eastAsia" w:ascii="仿宋_GB2312" w:hAnsi="仿宋_GB2312" w:eastAsia="仿宋_GB2312" w:cs="仿宋_GB2312"/>
          <w:sz w:val="32"/>
          <w:szCs w:val="32"/>
        </w:rPr>
        <w:t>评价指标</w:t>
      </w:r>
      <w:r>
        <w:rPr>
          <w:rFonts w:hint="eastAsia" w:ascii="仿宋_GB2312" w:hAnsi="仿宋_GB2312" w:eastAsia="仿宋_GB2312" w:cs="仿宋_GB2312"/>
          <w:sz w:val="32"/>
          <w:szCs w:val="32"/>
          <w:lang w:val="en-US" w:eastAsia="zh-CN"/>
        </w:rPr>
        <w:t>和标准进行了</w:t>
      </w:r>
      <w:r>
        <w:rPr>
          <w:rFonts w:hint="eastAsia" w:ascii="仿宋_GB2312" w:hAnsi="仿宋_GB2312" w:eastAsia="仿宋_GB2312" w:cs="仿宋_GB2312"/>
          <w:sz w:val="32"/>
          <w:szCs w:val="32"/>
        </w:rPr>
        <w:t>评分，20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年单位整体支出绩效自评得分为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6.72”</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具体评分明细见附件二），评定等级为优秀</w:t>
      </w:r>
      <w:r>
        <w:rPr>
          <w:rFonts w:hint="eastAsia" w:ascii="仿宋_GB2312" w:hAnsi="仿宋_GB2312" w:eastAsia="仿宋_GB2312" w:cs="仿宋_GB2312"/>
          <w:sz w:val="32"/>
          <w:szCs w:val="32"/>
          <w:lang w:eastAsia="zh-CN"/>
        </w:rPr>
        <w:t>。</w:t>
      </w:r>
    </w:p>
    <w:p>
      <w:pPr>
        <w:pStyle w:val="10"/>
        <w:keepNext w:val="0"/>
        <w:keepLines w:val="0"/>
        <w:pageBreakBefore w:val="0"/>
        <w:widowControl/>
        <w:numPr>
          <w:ilvl w:val="0"/>
          <w:numId w:val="4"/>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存在的问题及原因分析</w:t>
      </w:r>
    </w:p>
    <w:p>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jc w:val="both"/>
        <w:textAlignment w:val="auto"/>
        <w:rPr>
          <w:rFonts w:hint="eastAsia" w:ascii="黑体" w:hAnsi="黑体" w:eastAsia="黑体" w:cs="黑体"/>
          <w:sz w:val="32"/>
          <w:szCs w:val="32"/>
          <w:highlight w:val="none"/>
          <w:lang w:eastAsia="zh-CN"/>
        </w:rPr>
      </w:pPr>
      <w:r>
        <w:rPr>
          <w:rFonts w:hint="eastAsia" w:ascii="仿宋_GB2312" w:hAnsi="仿宋_GB2312" w:eastAsia="仿宋_GB2312" w:cs="仿宋_GB2312"/>
          <w:sz w:val="32"/>
          <w:szCs w:val="32"/>
          <w:lang w:val="en-US" w:eastAsia="zh-CN"/>
        </w:rPr>
        <w:t>（一）干部队伍力量有待优化。</w:t>
      </w:r>
      <w:r>
        <w:rPr>
          <w:rFonts w:hint="eastAsia" w:ascii="仿宋_GB2312" w:hAnsi="仿宋_GB2312" w:eastAsia="仿宋_GB2312" w:cs="仿宋_GB2312"/>
          <w:sz w:val="32"/>
          <w:szCs w:val="32"/>
        </w:rPr>
        <w:t>受机构涉改和身份编制影响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单位长时间人员只出不进、只退不招，干部青黄不接、后劲不足，人员变动难、调整难，现有队伍力量匹配不上新增职责份量，导致出现工作动力不足</w:t>
      </w:r>
      <w:r>
        <w:rPr>
          <w:rFonts w:hint="eastAsia" w:ascii="仿宋_GB2312" w:hAnsi="仿宋_GB2312" w:eastAsia="仿宋_GB2312" w:cs="仿宋_GB2312"/>
          <w:sz w:val="32"/>
          <w:szCs w:val="32"/>
          <w:lang w:val="en-US" w:eastAsia="zh-CN"/>
        </w:rPr>
        <w:t>的现象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highlight w:val="none"/>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二）预算绩效目标编制不够规范，</w:t>
      </w:r>
      <w:r>
        <w:rPr>
          <w:rFonts w:hint="eastAsia" w:ascii="仿宋_GB2312" w:hAnsi="仿宋_GB2312" w:eastAsia="仿宋_GB2312" w:cs="仿宋_GB2312"/>
          <w:sz w:val="32"/>
          <w:szCs w:val="32"/>
          <w:lang w:eastAsia="zh-CN"/>
        </w:rPr>
        <w:t>指标</w:t>
      </w:r>
      <w:r>
        <w:rPr>
          <w:rFonts w:hint="eastAsia" w:ascii="仿宋_GB2312" w:hAnsi="仿宋_GB2312" w:eastAsia="仿宋_GB2312" w:cs="仿宋_GB2312"/>
          <w:sz w:val="32"/>
          <w:szCs w:val="32"/>
          <w:lang w:val="en-US" w:eastAsia="zh-CN"/>
        </w:rPr>
        <w:t>关联细化程度有待进一步提升，</w:t>
      </w:r>
      <w:r>
        <w:rPr>
          <w:rFonts w:hint="eastAsia" w:ascii="仿宋_GB2312" w:hAnsi="仿宋_GB2312" w:eastAsia="仿宋_GB2312" w:cs="仿宋_GB2312"/>
          <w:sz w:val="32"/>
          <w:szCs w:val="32"/>
          <w:lang w:eastAsia="zh-CN"/>
        </w:rPr>
        <w:t>可衡量性不强。</w:t>
      </w:r>
      <w:r>
        <w:rPr>
          <w:rFonts w:hint="eastAsia" w:ascii="仿宋_GB2312" w:hAnsi="仿宋_GB2312" w:eastAsia="仿宋_GB2312" w:cs="仿宋_GB2312"/>
          <w:sz w:val="32"/>
          <w:szCs w:val="32"/>
          <w:lang w:val="en-US" w:eastAsia="zh-CN"/>
        </w:rPr>
        <w:t>主要原因为</w:t>
      </w:r>
      <w:r>
        <w:rPr>
          <w:rFonts w:hint="eastAsia" w:ascii="仿宋_GB2312" w:hAnsi="仿宋_GB2312" w:eastAsia="仿宋_GB2312" w:cs="仿宋_GB2312"/>
          <w:sz w:val="32"/>
          <w:szCs w:val="32"/>
          <w:lang w:eastAsia="zh-CN"/>
        </w:rPr>
        <w:t>绩效管理</w:t>
      </w:r>
      <w:r>
        <w:rPr>
          <w:rFonts w:hint="eastAsia" w:ascii="仿宋_GB2312" w:hAnsi="仿宋_GB2312" w:eastAsia="仿宋_GB2312" w:cs="仿宋_GB2312"/>
          <w:sz w:val="32"/>
          <w:szCs w:val="32"/>
          <w:lang w:val="en-US" w:eastAsia="zh-CN"/>
        </w:rPr>
        <w:t>由财务部门兼任，</w:t>
      </w:r>
      <w:r>
        <w:rPr>
          <w:rFonts w:hint="eastAsia" w:ascii="仿宋_GB2312" w:hAnsi="仿宋_GB2312" w:eastAsia="仿宋_GB2312" w:cs="仿宋_GB2312"/>
          <w:sz w:val="32"/>
          <w:szCs w:val="32"/>
          <w:lang w:eastAsia="zh-CN"/>
        </w:rPr>
        <w:t>财务人员大多</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eastAsia="zh-CN"/>
        </w:rPr>
        <w:t>会计、财务管理等专业，绩效</w:t>
      </w:r>
      <w:r>
        <w:rPr>
          <w:rFonts w:hint="eastAsia" w:ascii="仿宋_GB2312" w:hAnsi="仿宋_GB2312" w:eastAsia="仿宋_GB2312" w:cs="仿宋_GB2312"/>
          <w:sz w:val="32"/>
          <w:szCs w:val="32"/>
          <w:lang w:val="en-US" w:eastAsia="zh-CN"/>
        </w:rPr>
        <w:t>管理不但</w:t>
      </w:r>
      <w:r>
        <w:rPr>
          <w:rFonts w:hint="eastAsia" w:ascii="仿宋_GB2312" w:hAnsi="仿宋_GB2312" w:eastAsia="仿宋_GB2312" w:cs="仿宋_GB2312"/>
          <w:sz w:val="32"/>
          <w:szCs w:val="32"/>
          <w:lang w:eastAsia="zh-CN"/>
        </w:rPr>
        <w:t>需要掌握财经知识，还</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lang w:eastAsia="zh-CN"/>
        </w:rPr>
        <w:t>熟悉相关政策、了解项目业务</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需要</w:t>
      </w:r>
      <w:r>
        <w:rPr>
          <w:rFonts w:hint="eastAsia" w:ascii="仿宋_GB2312" w:hAnsi="仿宋_GB2312" w:eastAsia="仿宋_GB2312" w:cs="仿宋_GB2312"/>
          <w:sz w:val="32"/>
          <w:szCs w:val="32"/>
          <w:lang w:eastAsia="zh-CN"/>
        </w:rPr>
        <w:t>具备管理学、法学、统计学、工程学等方面的知识，并</w:t>
      </w:r>
      <w:r>
        <w:rPr>
          <w:rFonts w:hint="eastAsia" w:ascii="仿宋_GB2312" w:hAnsi="仿宋_GB2312" w:eastAsia="仿宋_GB2312" w:cs="仿宋_GB2312"/>
          <w:sz w:val="32"/>
          <w:szCs w:val="32"/>
          <w:lang w:val="en-US" w:eastAsia="zh-CN"/>
        </w:rPr>
        <w:t>需要</w:t>
      </w:r>
      <w:r>
        <w:rPr>
          <w:rFonts w:hint="eastAsia" w:ascii="仿宋_GB2312" w:hAnsi="仿宋_GB2312" w:eastAsia="仿宋_GB2312" w:cs="仿宋_GB2312"/>
          <w:sz w:val="32"/>
          <w:szCs w:val="32"/>
          <w:lang w:eastAsia="zh-CN"/>
        </w:rPr>
        <w:t>持续更新知识体系</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jc w:val="both"/>
        <w:textAlignment w:val="auto"/>
        <w:rPr>
          <w:rFonts w:hint="eastAsia" w:ascii="黑体" w:hAnsi="黑体" w:eastAsia="黑体" w:cs="黑体"/>
          <w:sz w:val="32"/>
          <w:szCs w:val="32"/>
          <w:highlight w:val="none"/>
          <w:lang w:eastAsia="zh-CN"/>
        </w:rPr>
      </w:pP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下一步改进措施</w:t>
      </w:r>
    </w:p>
    <w:p>
      <w:pPr>
        <w:pStyle w:val="2"/>
        <w:keepNext w:val="0"/>
        <w:keepLines w:val="0"/>
        <w:pageBreakBefore w:val="0"/>
        <w:wordWrap/>
        <w:overflowPunct/>
        <w:topLinePunct w:val="0"/>
        <w:bidi w:val="0"/>
        <w:spacing w:line="600" w:lineRule="exact"/>
        <w:ind w:firstLine="640" w:firstLineChars="200"/>
        <w:jc w:val="left"/>
        <w:rPr>
          <w:rFonts w:hint="default"/>
          <w:sz w:val="32"/>
          <w:szCs w:val="32"/>
        </w:rPr>
      </w:pP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一</w:t>
      </w:r>
      <w:r>
        <w:rPr>
          <w:rFonts w:hint="eastAsia" w:ascii="仿宋_GB2312" w:hAnsi="宋体" w:eastAsia="仿宋_GB2312" w:cs="宋体"/>
          <w:sz w:val="32"/>
          <w:szCs w:val="32"/>
          <w:lang w:eastAsia="zh-CN"/>
        </w:rPr>
        <w:t>）加强干部队伍建设。</w:t>
      </w:r>
      <w:r>
        <w:rPr>
          <w:rFonts w:hint="eastAsia" w:ascii="仿宋_GB2312" w:hAnsi="仿宋_GB2312" w:eastAsia="仿宋_GB2312" w:cs="仿宋_GB2312"/>
          <w:b w:val="0"/>
          <w:bCs/>
          <w:sz w:val="32"/>
          <w:szCs w:val="32"/>
        </w:rPr>
        <w:t>以党建总揽引领队伍建设</w:t>
      </w:r>
      <w:r>
        <w:rPr>
          <w:rFonts w:hint="eastAsia" w:ascii="仿宋_GB2312" w:hAnsi="仿宋_GB2312" w:eastAsia="仿宋_GB2312" w:cs="仿宋_GB2312"/>
          <w:b w:val="0"/>
          <w:bCs/>
          <w:sz w:val="32"/>
          <w:szCs w:val="32"/>
          <w:lang w:eastAsia="zh-CN"/>
        </w:rPr>
        <w:t>，</w:t>
      </w:r>
      <w:r>
        <w:rPr>
          <w:rFonts w:hint="eastAsia" w:ascii="仿宋_GB2312" w:eastAsia="仿宋_GB2312"/>
          <w:sz w:val="32"/>
          <w:szCs w:val="32"/>
        </w:rPr>
        <w:t>全面加强党的领导，健全和完善工作部署、教育培训和考核监督</w:t>
      </w:r>
      <w:r>
        <w:rPr>
          <w:rFonts w:hint="eastAsia" w:ascii="仿宋_GB2312" w:eastAsia="仿宋_GB2312"/>
          <w:sz w:val="32"/>
          <w:szCs w:val="32"/>
          <w:lang w:eastAsia="zh-CN"/>
        </w:rPr>
        <w:t>机制，</w:t>
      </w:r>
      <w:r>
        <w:rPr>
          <w:rFonts w:hint="eastAsia" w:ascii="仿宋_GB2312" w:eastAsia="仿宋_GB2312"/>
          <w:sz w:val="32"/>
          <w:szCs w:val="32"/>
        </w:rPr>
        <w:t>推动党建工作融入城管综合执法工作的方方面面。</w:t>
      </w:r>
      <w:r>
        <w:rPr>
          <w:rFonts w:hint="eastAsia" w:ascii="仿宋_GB2312" w:eastAsia="仿宋_GB2312"/>
          <w:sz w:val="32"/>
          <w:szCs w:val="32"/>
          <w:lang w:val="en-US" w:eastAsia="zh-CN"/>
        </w:rPr>
        <w:t>加强</w:t>
      </w:r>
      <w:r>
        <w:rPr>
          <w:rFonts w:hint="eastAsia" w:ascii="仿宋_GB2312" w:hAnsi="仿宋_GB2312" w:eastAsia="仿宋_GB2312" w:cs="仿宋_GB2312"/>
          <w:b w:val="0"/>
          <w:bCs w:val="0"/>
          <w:sz w:val="32"/>
          <w:szCs w:val="32"/>
          <w:lang w:val="en-US" w:eastAsia="zh-CN"/>
        </w:rPr>
        <w:t>人员培训，结合职能职责和执法定位，采取“走出去”和“请进来”的交流学习方式，迅速补齐业务知识短板和执行能力弱项，</w:t>
      </w:r>
      <w:r>
        <w:rPr>
          <w:rFonts w:hint="eastAsia" w:ascii="仿宋_GB2312" w:eastAsia="仿宋_GB2312"/>
          <w:sz w:val="32"/>
          <w:szCs w:val="32"/>
        </w:rPr>
        <w:t>实现队伍的高质量发展</w:t>
      </w:r>
      <w:r>
        <w:rPr>
          <w:rFonts w:hint="eastAsia" w:ascii="仿宋_GB2312" w:eastAsia="仿宋_GB2312"/>
          <w:sz w:val="32"/>
          <w:szCs w:val="32"/>
          <w:lang w:eastAsia="zh-CN"/>
        </w:rPr>
        <w:t>。</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黑体" w:hAnsi="黑体" w:eastAsia="黑体" w:cs="黑体"/>
          <w:sz w:val="32"/>
          <w:szCs w:val="32"/>
          <w:highlight w:val="none"/>
          <w:lang w:eastAsia="zh-CN"/>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color w:val="auto"/>
          <w:sz w:val="32"/>
          <w:szCs w:val="32"/>
          <w:shd w:val="clear" w:color="auto" w:fill="FFFFFF"/>
          <w:lang w:eastAsia="zh-CN"/>
        </w:rPr>
        <w:t>加快</w:t>
      </w:r>
      <w:r>
        <w:rPr>
          <w:rFonts w:hint="eastAsia" w:ascii="仿宋_GB2312" w:hAnsi="仿宋_GB2312" w:eastAsia="仿宋_GB2312" w:cs="仿宋_GB2312"/>
          <w:b w:val="0"/>
          <w:bCs/>
          <w:color w:val="auto"/>
          <w:sz w:val="32"/>
          <w:szCs w:val="32"/>
          <w:shd w:val="clear" w:color="auto" w:fill="FFFFFF"/>
          <w:lang w:val="en-US" w:eastAsia="zh-CN"/>
        </w:rPr>
        <w:t>人才</w:t>
      </w:r>
      <w:r>
        <w:rPr>
          <w:rFonts w:hint="eastAsia" w:ascii="仿宋_GB2312" w:hAnsi="仿宋_GB2312" w:eastAsia="仿宋_GB2312" w:cs="仿宋_GB2312"/>
          <w:b w:val="0"/>
          <w:bCs/>
          <w:color w:val="auto"/>
          <w:sz w:val="32"/>
          <w:szCs w:val="32"/>
          <w:shd w:val="clear" w:color="auto" w:fill="FFFFFF"/>
          <w:lang w:eastAsia="zh-CN"/>
        </w:rPr>
        <w:t>队伍建设，提</w:t>
      </w:r>
      <w:r>
        <w:rPr>
          <w:rFonts w:hint="eastAsia" w:ascii="仿宋_GB2312" w:hAnsi="仿宋_GB2312" w:eastAsia="仿宋_GB2312" w:cs="仿宋_GB2312"/>
          <w:b w:val="0"/>
          <w:bCs/>
          <w:color w:val="auto"/>
          <w:sz w:val="32"/>
          <w:szCs w:val="32"/>
          <w:shd w:val="clear" w:color="auto" w:fill="FFFFFF"/>
          <w:lang w:val="en-US" w:eastAsia="zh-CN"/>
        </w:rPr>
        <w:t>升绩效</w:t>
      </w:r>
      <w:r>
        <w:rPr>
          <w:rFonts w:hint="eastAsia" w:ascii="仿宋_GB2312" w:hAnsi="仿宋_GB2312" w:eastAsia="仿宋_GB2312" w:cs="仿宋_GB2312"/>
          <w:b w:val="0"/>
          <w:bCs/>
          <w:color w:val="auto"/>
          <w:sz w:val="32"/>
          <w:szCs w:val="32"/>
          <w:shd w:val="clear" w:color="auto" w:fill="FFFFFF"/>
          <w:lang w:eastAsia="zh-CN"/>
        </w:rPr>
        <w:t>管理人员专业水平。</w:t>
      </w:r>
      <w:r>
        <w:rPr>
          <w:rFonts w:hint="eastAsia" w:ascii="仿宋_GB2312" w:hAnsi="仿宋_GB2312" w:eastAsia="仿宋_GB2312" w:cs="仿宋_GB2312"/>
          <w:b w:val="0"/>
          <w:bCs/>
          <w:color w:val="000000"/>
          <w:sz w:val="32"/>
          <w:szCs w:val="32"/>
          <w:shd w:val="clear" w:color="auto" w:fill="FFFFFF"/>
          <w:lang w:val="en-US" w:eastAsia="zh-CN"/>
        </w:rPr>
        <w:t>引进专业</w:t>
      </w:r>
      <w:r>
        <w:rPr>
          <w:rFonts w:hint="eastAsia" w:ascii="仿宋_GB2312" w:hAnsi="仿宋_GB2312" w:eastAsia="仿宋_GB2312" w:cs="仿宋_GB2312"/>
          <w:b w:val="0"/>
          <w:bCs/>
          <w:color w:val="000000"/>
          <w:sz w:val="32"/>
          <w:szCs w:val="32"/>
          <w:shd w:val="clear" w:color="auto" w:fill="FFFFFF"/>
          <w:lang w:eastAsia="zh-CN"/>
        </w:rPr>
        <w:t>人</w:t>
      </w:r>
      <w:r>
        <w:rPr>
          <w:rFonts w:hint="eastAsia" w:ascii="仿宋_GB2312" w:hAnsi="仿宋_GB2312" w:eastAsia="仿宋_GB2312" w:cs="仿宋_GB2312"/>
          <w:b w:val="0"/>
          <w:bCs/>
          <w:color w:val="000000"/>
          <w:sz w:val="32"/>
          <w:szCs w:val="32"/>
          <w:shd w:val="clear" w:color="auto" w:fill="FFFFFF"/>
          <w:lang w:val="en-US" w:eastAsia="zh-CN"/>
        </w:rPr>
        <w:t>才</w:t>
      </w:r>
      <w:r>
        <w:rPr>
          <w:rFonts w:hint="eastAsia" w:ascii="仿宋_GB2312" w:hAnsi="仿宋_GB2312" w:eastAsia="仿宋_GB2312" w:cs="仿宋_GB2312"/>
          <w:b w:val="0"/>
          <w:bCs/>
          <w:color w:val="000000"/>
          <w:sz w:val="32"/>
          <w:szCs w:val="32"/>
          <w:shd w:val="clear" w:color="auto" w:fill="FFFFFF"/>
          <w:lang w:eastAsia="zh-CN"/>
        </w:rPr>
        <w:t>，</w:t>
      </w:r>
      <w:r>
        <w:rPr>
          <w:rFonts w:hint="eastAsia" w:ascii="仿宋_GB2312" w:hAnsi="仿宋_GB2312" w:eastAsia="仿宋_GB2312" w:cs="仿宋_GB2312"/>
          <w:b w:val="0"/>
          <w:bCs/>
          <w:color w:val="000000"/>
          <w:sz w:val="32"/>
          <w:szCs w:val="32"/>
          <w:shd w:val="clear" w:color="auto" w:fill="FFFFFF"/>
          <w:lang w:val="en-US" w:eastAsia="zh-CN"/>
        </w:rPr>
        <w:t>充实</w:t>
      </w:r>
      <w:r>
        <w:rPr>
          <w:rFonts w:hint="eastAsia" w:ascii="仿宋_GB2312" w:hAnsi="仿宋_GB2312" w:eastAsia="仿宋_GB2312" w:cs="仿宋_GB2312"/>
          <w:b w:val="0"/>
          <w:bCs/>
          <w:color w:val="000000"/>
          <w:sz w:val="32"/>
          <w:szCs w:val="32"/>
          <w:shd w:val="clear" w:color="auto" w:fill="FFFFFF"/>
          <w:lang w:eastAsia="zh-CN"/>
        </w:rPr>
        <w:t>绩效管理</w:t>
      </w:r>
      <w:r>
        <w:rPr>
          <w:rFonts w:hint="eastAsia" w:ascii="仿宋_GB2312" w:hAnsi="仿宋_GB2312" w:eastAsia="仿宋_GB2312" w:cs="仿宋_GB2312"/>
          <w:b w:val="0"/>
          <w:bCs/>
          <w:color w:val="000000"/>
          <w:sz w:val="32"/>
          <w:szCs w:val="32"/>
          <w:shd w:val="clear" w:color="auto" w:fill="FFFFFF"/>
          <w:lang w:val="en-US" w:eastAsia="zh-CN"/>
        </w:rPr>
        <w:t>人才队伍</w:t>
      </w:r>
      <w:r>
        <w:rPr>
          <w:rFonts w:hint="eastAsia" w:ascii="仿宋_GB2312" w:hAnsi="仿宋_GB2312" w:eastAsia="仿宋_GB2312" w:cs="仿宋_GB2312"/>
          <w:b w:val="0"/>
          <w:bCs/>
          <w:color w:val="000000"/>
          <w:sz w:val="32"/>
          <w:szCs w:val="32"/>
          <w:shd w:val="clear" w:color="auto" w:fill="FFFFFF"/>
          <w:lang w:eastAsia="zh-CN"/>
        </w:rPr>
        <w:t>，加强</w:t>
      </w:r>
      <w:r>
        <w:rPr>
          <w:rFonts w:hint="eastAsia" w:ascii="仿宋_GB2312" w:hAnsi="仿宋_GB2312" w:eastAsia="仿宋_GB2312" w:cs="仿宋_GB2312"/>
          <w:b w:val="0"/>
          <w:bCs/>
          <w:color w:val="000000"/>
          <w:sz w:val="32"/>
          <w:szCs w:val="32"/>
          <w:shd w:val="clear" w:color="auto" w:fill="FFFFFF"/>
          <w:lang w:val="en-US" w:eastAsia="zh-CN"/>
        </w:rPr>
        <w:t>业务培训，提升绩效管理人员综合素质</w:t>
      </w:r>
      <w:r>
        <w:rPr>
          <w:rFonts w:hint="eastAsia" w:ascii="Times New Roman" w:hAnsi="Times New Roman" w:eastAsia="仿宋_GB2312" w:cs="仿宋_GB2312"/>
          <w:color w:val="000000"/>
          <w:sz w:val="32"/>
          <w:szCs w:val="32"/>
          <w:shd w:val="clear" w:color="auto" w:fill="FFFFFF"/>
          <w:lang w:eastAsia="zh-CN"/>
        </w:rPr>
        <w:t>。</w:t>
      </w:r>
      <w:r>
        <w:rPr>
          <w:rFonts w:hint="eastAsia" w:ascii="仿宋_GB2312" w:hAnsi="仿宋_GB2312" w:eastAsia="仿宋_GB2312" w:cs="仿宋_GB2312"/>
          <w:b w:val="0"/>
          <w:bCs/>
          <w:color w:val="000000"/>
          <w:sz w:val="32"/>
          <w:szCs w:val="32"/>
          <w:shd w:val="clear" w:color="auto" w:fill="FFFFFF"/>
          <w:lang w:val="en-US" w:eastAsia="zh-CN"/>
        </w:rPr>
        <w:t>同时，加强部门间协作联动，</w:t>
      </w:r>
      <w:r>
        <w:rPr>
          <w:rFonts w:hint="eastAsia" w:ascii="仿宋_GB2312" w:hAnsi="仿宋_GB2312" w:eastAsia="仿宋_GB2312" w:cs="仿宋_GB2312"/>
          <w:b w:val="0"/>
          <w:bCs/>
          <w:color w:val="000000"/>
          <w:sz w:val="32"/>
          <w:szCs w:val="32"/>
          <w:shd w:val="clear" w:color="auto" w:fill="FFFFFF"/>
          <w:lang w:eastAsia="zh-CN"/>
        </w:rPr>
        <w:t>提</w:t>
      </w:r>
      <w:r>
        <w:rPr>
          <w:rFonts w:hint="eastAsia" w:ascii="仿宋_GB2312" w:hAnsi="仿宋_GB2312" w:eastAsia="仿宋_GB2312" w:cs="仿宋_GB2312"/>
          <w:b w:val="0"/>
          <w:bCs/>
          <w:color w:val="000000"/>
          <w:sz w:val="32"/>
          <w:szCs w:val="32"/>
          <w:shd w:val="clear" w:color="auto" w:fill="FFFFFF"/>
          <w:lang w:val="en-US" w:eastAsia="zh-CN"/>
        </w:rPr>
        <w:t>升</w:t>
      </w:r>
      <w:r>
        <w:rPr>
          <w:rFonts w:hint="eastAsia" w:ascii="仿宋_GB2312" w:hAnsi="仿宋_GB2312" w:eastAsia="仿宋_GB2312" w:cs="仿宋_GB2312"/>
          <w:b w:val="0"/>
          <w:bCs/>
          <w:color w:val="000000"/>
          <w:sz w:val="32"/>
          <w:szCs w:val="32"/>
          <w:shd w:val="clear" w:color="auto" w:fill="FFFFFF"/>
          <w:lang w:eastAsia="zh-CN"/>
        </w:rPr>
        <w:t>绩效管理</w:t>
      </w:r>
      <w:r>
        <w:rPr>
          <w:rFonts w:hint="eastAsia" w:ascii="仿宋_GB2312" w:hAnsi="仿宋_GB2312" w:eastAsia="仿宋_GB2312" w:cs="仿宋_GB2312"/>
          <w:b w:val="0"/>
          <w:bCs/>
          <w:color w:val="000000"/>
          <w:sz w:val="32"/>
          <w:szCs w:val="32"/>
          <w:shd w:val="clear" w:color="auto" w:fill="FFFFFF"/>
          <w:lang w:val="en-US" w:eastAsia="zh-CN"/>
        </w:rPr>
        <w:t>水</w:t>
      </w:r>
      <w:r>
        <w:rPr>
          <w:rFonts w:hint="eastAsia" w:ascii="仿宋_GB2312" w:hAnsi="仿宋_GB2312" w:eastAsia="仿宋_GB2312" w:cs="仿宋_GB2312"/>
          <w:b w:val="0"/>
          <w:bCs/>
          <w:color w:val="000000"/>
          <w:sz w:val="32"/>
          <w:szCs w:val="32"/>
          <w:shd w:val="clear" w:color="auto" w:fill="FFFFFF"/>
          <w:lang w:eastAsia="zh-CN"/>
        </w:rPr>
        <w:t>平。</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部门整体支出绩效自评结果拟应用</w:t>
      </w:r>
      <w:r>
        <w:rPr>
          <w:rFonts w:hint="eastAsia" w:ascii="Times New Roman" w:hAnsi="Times New Roman" w:eastAsia="黑体" w:cs="Times New Roman"/>
          <w:sz w:val="32"/>
          <w:szCs w:val="32"/>
          <w:lang w:val="en-US" w:eastAsia="zh-CN"/>
        </w:rPr>
        <w:t>及</w:t>
      </w:r>
      <w:r>
        <w:rPr>
          <w:rFonts w:hint="default" w:ascii="Times New Roman" w:hAnsi="Times New Roman" w:eastAsia="黑体" w:cs="Times New Roman"/>
          <w:sz w:val="32"/>
          <w:szCs w:val="32"/>
        </w:rPr>
        <w:t>公开</w:t>
      </w:r>
      <w:r>
        <w:rPr>
          <w:rFonts w:hint="eastAsia" w:ascii="Times New Roman" w:hAnsi="Times New Roman" w:eastAsia="黑体" w:cs="Times New Roman"/>
          <w:sz w:val="32"/>
          <w:szCs w:val="32"/>
          <w:lang w:val="en-US" w:eastAsia="zh-CN"/>
        </w:rPr>
        <w:t>情况</w:t>
      </w:r>
    </w:p>
    <w:p>
      <w:pPr>
        <w:pStyle w:val="3"/>
        <w:keepNext w:val="0"/>
        <w:keepLines w:val="0"/>
        <w:pageBreakBefore w:val="0"/>
        <w:wordWrap/>
        <w:overflowPunct/>
        <w:topLinePunct w:val="0"/>
        <w:bidi w:val="0"/>
        <w:spacing w:line="600" w:lineRule="exact"/>
        <w:ind w:left="0" w:leftChars="0" w:firstLine="640" w:firstLineChars="200"/>
        <w:jc w:val="left"/>
        <w:rPr>
          <w:rFonts w:hint="default"/>
          <w:sz w:val="32"/>
          <w:szCs w:val="32"/>
        </w:rPr>
      </w:pPr>
      <w:r>
        <w:rPr>
          <w:rFonts w:hint="eastAsia" w:ascii="仿宋_GB2312" w:hAnsi="仿宋_GB2312" w:eastAsia="仿宋_GB2312" w:cs="仿宋_GB2312"/>
          <w:b w:val="0"/>
          <w:bCs w:val="0"/>
          <w:sz w:val="32"/>
          <w:szCs w:val="32"/>
        </w:rPr>
        <w:t>部门整体支出绩效自评结果</w:t>
      </w:r>
      <w:r>
        <w:rPr>
          <w:rFonts w:hint="eastAsia" w:ascii="仿宋_GB2312" w:hAnsi="仿宋_GB2312" w:eastAsia="仿宋_GB2312" w:cs="仿宋_GB2312"/>
          <w:b w:val="0"/>
          <w:bCs w:val="0"/>
          <w:sz w:val="32"/>
          <w:szCs w:val="32"/>
          <w:lang w:val="en-US" w:eastAsia="zh-CN"/>
        </w:rPr>
        <w:t>将作为完善本单位相关制度，改进资金管理的重要依据，同时，也将作为单位内部工作总结的参考依据。本单位的预算绩效目标、预算、决算及绩效评价等信息均按相关规定及时在市城管局门户网站进行了公开，</w:t>
      </w:r>
      <w:r>
        <w:rPr>
          <w:rFonts w:hint="eastAsia" w:ascii="仿宋_GB2312" w:hAnsi="仿宋_GB2312" w:eastAsia="仿宋_GB2312" w:cs="仿宋_GB2312"/>
          <w:kern w:val="0"/>
          <w:sz w:val="32"/>
          <w:szCs w:val="32"/>
        </w:rPr>
        <w:t>公开信息基础数据和会计信息资料准确、真实、完整。</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其他需要说明的情况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5" w:line="600" w:lineRule="exact"/>
        <w:ind w:right="11" w:rightChars="0" w:firstLine="67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kern w:val="0"/>
          <w:sz w:val="32"/>
          <w:szCs w:val="32"/>
          <w:lang w:val="en-US" w:eastAsia="zh-CN"/>
        </w:rPr>
        <w:t>由于机构改革，支队部分</w:t>
      </w:r>
      <w:r>
        <w:rPr>
          <w:rFonts w:hint="eastAsia" w:ascii="仿宋_GB2312" w:hAnsi="仿宋_GB2312" w:eastAsia="仿宋_GB2312" w:cs="仿宋_GB2312"/>
          <w:spacing w:val="9"/>
          <w:kern w:val="0"/>
          <w:sz w:val="32"/>
          <w:szCs w:val="32"/>
        </w:rPr>
        <w:t>职责</w:t>
      </w:r>
      <w:r>
        <w:rPr>
          <w:rFonts w:hint="eastAsia" w:ascii="仿宋_GB2312" w:hAnsi="仿宋_GB2312" w:eastAsia="仿宋_GB2312" w:cs="仿宋_GB2312"/>
          <w:spacing w:val="9"/>
          <w:kern w:val="0"/>
          <w:sz w:val="32"/>
          <w:szCs w:val="32"/>
          <w:lang w:val="en-US" w:eastAsia="zh-CN"/>
        </w:rPr>
        <w:t>进行了</w:t>
      </w:r>
      <w:r>
        <w:rPr>
          <w:rFonts w:hint="eastAsia" w:ascii="仿宋_GB2312" w:hAnsi="仿宋_GB2312" w:eastAsia="仿宋_GB2312" w:cs="仿宋_GB2312"/>
          <w:spacing w:val="9"/>
          <w:kern w:val="0"/>
          <w:sz w:val="32"/>
          <w:szCs w:val="32"/>
        </w:rPr>
        <w:t>调整</w:t>
      </w:r>
      <w:r>
        <w:rPr>
          <w:rFonts w:hint="eastAsia" w:ascii="仿宋_GB2312" w:hAnsi="仿宋_GB2312" w:eastAsia="仿宋_GB2312" w:cs="仿宋_GB2312"/>
          <w:spacing w:val="9"/>
          <w:kern w:val="0"/>
          <w:sz w:val="32"/>
          <w:szCs w:val="32"/>
          <w:lang w:eastAsia="zh-CN"/>
        </w:rPr>
        <w:t>，</w:t>
      </w:r>
      <w:r>
        <w:rPr>
          <w:rFonts w:hint="eastAsia" w:ascii="仿宋_GB2312" w:hAnsi="仿宋_GB2312" w:eastAsia="仿宋_GB2312" w:cs="仿宋_GB2312"/>
          <w:spacing w:val="9"/>
          <w:kern w:val="0"/>
          <w:sz w:val="32"/>
          <w:szCs w:val="32"/>
        </w:rPr>
        <w:t>划入的职责：</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对岳阳楼区、云溪区、君山区、岳阳经济技术开发区、城陵矶新港区、南湖新区餐厨垃圾收集、运输、处置等方面违法违规行为的行政执法工作</w:t>
      </w:r>
      <w:r>
        <w:rPr>
          <w:rFonts w:hint="eastAsia" w:ascii="仿宋_GB2312" w:hAnsi="仿宋_GB2312" w:eastAsia="仿宋_GB2312" w:cs="仿宋_GB2312"/>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对全市餐饮服务业油烟污染行为的行政执法的业务指导。</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5" w:line="600" w:lineRule="exact"/>
        <w:ind w:right="11" w:rightChars="0"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调整</w:t>
      </w:r>
      <w:r>
        <w:rPr>
          <w:rFonts w:hint="eastAsia" w:ascii="仿宋_GB2312" w:hAnsi="仿宋_GB2312" w:eastAsia="仿宋_GB2312" w:cs="仿宋_GB2312"/>
          <w:sz w:val="32"/>
          <w:szCs w:val="32"/>
        </w:rPr>
        <w:t>划出的职责：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5" w:line="600" w:lineRule="exact"/>
        <w:ind w:right="11" w:rightChars="0" w:firstLine="640" w:firstLineChars="200"/>
        <w:textAlignment w:val="baseline"/>
        <w:rPr>
          <w:rFonts w:hint="eastAsia" w:ascii="仿宋_GB2312" w:hAnsi="仿宋_GB2312" w:eastAsia="仿宋_GB2312" w:cs="仿宋_GB2312"/>
          <w:spacing w:val="9"/>
          <w:kern w:val="0"/>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市本级市容环境卫生管理、园林绿化管理、禁止燃放烟花爆竹等城市管理方面的行政处罚权及相应的行政强制权，岳阳大道和巴陵大道、南湖大道、洞庭大道、湘北大道5条主干道的园林绿化管理方面的行政处</w:t>
      </w:r>
      <w:r>
        <w:rPr>
          <w:rFonts w:hint="eastAsia" w:ascii="仿宋_GB2312" w:hAnsi="仿宋_GB2312" w:eastAsia="仿宋_GB2312" w:cs="仿宋_GB2312"/>
          <w:spacing w:val="9"/>
          <w:kern w:val="0"/>
          <w:sz w:val="32"/>
          <w:szCs w:val="32"/>
        </w:rPr>
        <w:t>罚权及相应的行政强制权除外。</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5" w:line="600" w:lineRule="exact"/>
        <w:ind w:right="11" w:rightChars="0" w:firstLine="640" w:firstLineChars="200"/>
        <w:textAlignment w:val="baseline"/>
        <w:rPr>
          <w:rFonts w:hint="eastAsia" w:ascii="仿宋_GB2312" w:hAnsi="仿宋_GB2312" w:eastAsia="仿宋_GB2312" w:cs="仿宋_GB2312"/>
          <w:spacing w:val="9"/>
          <w:kern w:val="0"/>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pacing w:val="9"/>
          <w:kern w:val="0"/>
          <w:sz w:val="32"/>
          <w:szCs w:val="32"/>
        </w:rPr>
        <w:t>市本级向城市河道和水域倾倒废弃物和垃圾及违规取土、城市河道和水域违法建（构）筑物拆除等水利管理方面的行政处罚权及相应的行政强制权。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5" w:line="600" w:lineRule="exact"/>
        <w:ind w:right="11" w:rightChars="0" w:firstLine="676" w:firstLineChars="200"/>
        <w:textAlignment w:val="baseline"/>
        <w:rPr>
          <w:rFonts w:hint="eastAsia" w:ascii="仿宋_GB2312" w:hAnsi="仿宋_GB2312" w:eastAsia="仿宋_GB2312" w:cs="仿宋_GB2312"/>
          <w:spacing w:val="9"/>
          <w:kern w:val="0"/>
          <w:sz w:val="32"/>
          <w:szCs w:val="32"/>
        </w:rPr>
      </w:pPr>
      <w:r>
        <w:rPr>
          <w:rFonts w:hint="eastAsia" w:ascii="仿宋_GB2312" w:hAnsi="仿宋_GB2312" w:eastAsia="仿宋_GB2312" w:cs="仿宋_GB2312"/>
          <w:spacing w:val="9"/>
          <w:kern w:val="0"/>
          <w:sz w:val="32"/>
          <w:szCs w:val="32"/>
          <w:lang w:val="en-US" w:eastAsia="zh-CN"/>
        </w:rPr>
        <w:t>3、</w:t>
      </w:r>
      <w:r>
        <w:rPr>
          <w:rFonts w:hint="eastAsia" w:ascii="仿宋_GB2312" w:hAnsi="仿宋_GB2312" w:eastAsia="仿宋_GB2312" w:cs="仿宋_GB2312"/>
          <w:spacing w:val="9"/>
          <w:kern w:val="0"/>
          <w:sz w:val="32"/>
          <w:szCs w:val="32"/>
        </w:rPr>
        <w:t>市本级社会生活噪声污染、餐饮服务业油烟污染、露天烧烤污染、城市焚烧沥青塑料垃圾等烟尘和恶臭污染、露天焚烧秸秆落叶等烟尘污染、燃放烟花爆竹污染等生态环境保护管理方面的行政处罚权及相应的行政强制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5" w:line="600" w:lineRule="exact"/>
        <w:ind w:right="11" w:rightChars="0" w:firstLine="676" w:firstLineChars="200"/>
        <w:textAlignment w:val="baseline"/>
        <w:rPr>
          <w:rFonts w:hint="eastAsia" w:ascii="仿宋_GB2312" w:hAnsi="仿宋_GB2312" w:eastAsia="仿宋_GB2312" w:cs="仿宋_GB2312"/>
          <w:spacing w:val="9"/>
          <w:kern w:val="0"/>
          <w:sz w:val="32"/>
          <w:szCs w:val="32"/>
        </w:rPr>
      </w:pPr>
      <w:r>
        <w:rPr>
          <w:rFonts w:hint="eastAsia" w:ascii="仿宋_GB2312" w:hAnsi="仿宋_GB2312" w:eastAsia="仿宋_GB2312" w:cs="仿宋_GB2312"/>
          <w:spacing w:val="9"/>
          <w:kern w:val="0"/>
          <w:sz w:val="32"/>
          <w:szCs w:val="32"/>
          <w:lang w:val="en-US" w:eastAsia="zh-CN"/>
        </w:rPr>
        <w:t>4、</w:t>
      </w:r>
      <w:r>
        <w:rPr>
          <w:rFonts w:hint="eastAsia" w:ascii="仿宋_GB2312" w:hAnsi="仿宋_GB2312" w:eastAsia="仿宋_GB2312" w:cs="仿宋_GB2312"/>
          <w:spacing w:val="9"/>
          <w:kern w:val="0"/>
          <w:sz w:val="32"/>
          <w:szCs w:val="32"/>
        </w:rPr>
        <w:t>市本级户外公共场所无照经营、食品销售和餐饮摊点无证经营，以及户外违法回收贩卖药品等市场监督管理方面的行政处罚权及相应的行政强制权。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5" w:line="600" w:lineRule="exact"/>
        <w:ind w:right="11" w:rightChars="0" w:firstLine="676" w:firstLineChars="200"/>
        <w:textAlignment w:val="baseline"/>
        <w:rPr>
          <w:rFonts w:hint="eastAsia" w:ascii="仿宋_GB2312" w:hAnsi="仿宋_GB2312" w:eastAsia="仿宋_GB2312" w:cs="仿宋_GB2312"/>
          <w:spacing w:val="9"/>
          <w:kern w:val="0"/>
          <w:sz w:val="32"/>
          <w:szCs w:val="32"/>
        </w:rPr>
      </w:pPr>
      <w:r>
        <w:rPr>
          <w:rFonts w:hint="eastAsia" w:ascii="仿宋_GB2312" w:hAnsi="仿宋_GB2312" w:eastAsia="仿宋_GB2312" w:cs="仿宋_GB2312"/>
          <w:spacing w:val="9"/>
          <w:kern w:val="0"/>
          <w:sz w:val="32"/>
          <w:szCs w:val="32"/>
          <w:lang w:val="en-US" w:eastAsia="zh-CN"/>
        </w:rPr>
        <w:t>5、</w:t>
      </w:r>
      <w:r>
        <w:rPr>
          <w:rFonts w:hint="eastAsia" w:ascii="仿宋_GB2312" w:hAnsi="仿宋_GB2312" w:eastAsia="仿宋_GB2312" w:cs="仿宋_GB2312"/>
          <w:spacing w:val="9"/>
          <w:kern w:val="0"/>
          <w:sz w:val="32"/>
          <w:szCs w:val="32"/>
        </w:rPr>
        <w:t>市本级违法停放车辆公安交通管理方面的行政处罚权及相应的行政强制权。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95" w:line="600" w:lineRule="exact"/>
        <w:ind w:right="11" w:rightChars="0" w:firstLine="67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kern w:val="0"/>
          <w:sz w:val="32"/>
          <w:szCs w:val="32"/>
          <w:lang w:val="en-US" w:eastAsia="zh-CN"/>
        </w:rPr>
        <w:t>6、</w:t>
      </w:r>
      <w:r>
        <w:rPr>
          <w:rFonts w:hint="eastAsia" w:ascii="仿宋_GB2312" w:hAnsi="仿宋_GB2312" w:eastAsia="仿宋_GB2312" w:cs="仿宋_GB2312"/>
          <w:spacing w:val="9"/>
          <w:kern w:val="0"/>
          <w:sz w:val="32"/>
          <w:szCs w:val="32"/>
        </w:rPr>
        <w:t>市本级“牛皮癣”的治理和清除；市本级“门前三包”工作的指导、监督、考核工作。</w:t>
      </w:r>
    </w:p>
    <w:p>
      <w:pPr>
        <w:keepNext w:val="0"/>
        <w:keepLines w:val="0"/>
        <w:pageBreakBefore w:val="0"/>
        <w:widowControl w:val="0"/>
        <w:kinsoku/>
        <w:wordWrap/>
        <w:overflowPunct/>
        <w:topLinePunct w:val="0"/>
        <w:autoSpaceDE/>
        <w:autoSpaceDN/>
        <w:bidi w:val="0"/>
        <w:adjustRightInd/>
        <w:snapToGrid/>
        <w:spacing w:afterLines="0" w:line="600" w:lineRule="exact"/>
        <w:jc w:val="both"/>
        <w:textAlignment w:val="auto"/>
        <w:rPr>
          <w:rFonts w:hint="eastAsia" w:ascii="黑体" w:hAnsi="黑体" w:eastAsia="黑体" w:cs="黑体"/>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部门整体支出绩效评价基础数据表</w:t>
      </w:r>
    </w:p>
    <w:p>
      <w:pPr>
        <w:keepNext w:val="0"/>
        <w:keepLines w:val="0"/>
        <w:pageBreakBefore w:val="0"/>
        <w:widowControl/>
        <w:kinsoku/>
        <w:wordWrap/>
        <w:overflowPunct/>
        <w:topLinePunct w:val="0"/>
        <w:autoSpaceDE/>
        <w:autoSpaceDN/>
        <w:bidi w:val="0"/>
        <w:adjustRightInd/>
        <w:snapToGrid/>
        <w:spacing w:line="60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部门整体支出绩效自评表</w:t>
      </w:r>
    </w:p>
    <w:p>
      <w:pPr>
        <w:keepNext w:val="0"/>
        <w:keepLines w:val="0"/>
        <w:pageBreakBefore w:val="0"/>
        <w:widowControl/>
        <w:kinsoku/>
        <w:wordWrap/>
        <w:overflowPunct/>
        <w:topLinePunct w:val="0"/>
        <w:autoSpaceDE/>
        <w:autoSpaceDN/>
        <w:bidi w:val="0"/>
        <w:adjustRightInd/>
        <w:snapToGrid/>
        <w:spacing w:line="60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项目支出绩效自评表（</w:t>
      </w:r>
      <w:r>
        <w:rPr>
          <w:rFonts w:hint="eastAsia" w:ascii="仿宋_GB2312" w:hAnsi="仿宋_GB2312" w:eastAsia="仿宋_GB2312" w:cs="仿宋_GB2312"/>
          <w:sz w:val="32"/>
          <w:szCs w:val="32"/>
          <w:lang w:val="en-US" w:eastAsia="zh-CN"/>
        </w:rPr>
        <w:t>3-1至3-3</w:t>
      </w:r>
      <w:r>
        <w:rPr>
          <w:rFonts w:hint="eastAsia" w:ascii="仿宋_GB2312" w:hAnsi="仿宋_GB2312" w:eastAsia="仿宋_GB2312" w:cs="仿宋_GB2312"/>
          <w:sz w:val="32"/>
          <w:szCs w:val="32"/>
        </w:rPr>
        <w:t>表）</w:t>
      </w:r>
    </w:p>
    <w:p>
      <w:pPr>
        <w:keepNext w:val="0"/>
        <w:keepLines w:val="0"/>
        <w:pageBreakBefore w:val="0"/>
        <w:wordWrap/>
        <w:overflowPunct/>
        <w:topLinePunct w:val="0"/>
        <w:bidi w:val="0"/>
        <w:spacing w:after="120" w:afterLines="50" w:line="600" w:lineRule="exact"/>
        <w:jc w:val="left"/>
        <w:rPr>
          <w:rFonts w:hint="eastAsia" w:ascii="仿宋_GB2312" w:hAnsi="仿宋_GB2312" w:eastAsia="仿宋_GB2312" w:cs="仿宋_GB2312"/>
          <w:sz w:val="32"/>
          <w:szCs w:val="32"/>
        </w:rPr>
      </w:pPr>
    </w:p>
    <w:p>
      <w:pPr>
        <w:keepNext w:val="0"/>
        <w:keepLines w:val="0"/>
        <w:pageBreakBefore w:val="0"/>
        <w:wordWrap/>
        <w:overflowPunct/>
        <w:topLinePunct w:val="0"/>
        <w:bidi w:val="0"/>
        <w:spacing w:after="120" w:afterLines="50" w:line="600" w:lineRule="exact"/>
        <w:jc w:val="left"/>
        <w:rPr>
          <w:rFonts w:hint="eastAsia" w:ascii="仿宋_GB2312" w:hAnsi="仿宋_GB2312" w:eastAsia="仿宋_GB2312" w:cs="仿宋_GB2312"/>
          <w:sz w:val="32"/>
          <w:szCs w:val="32"/>
        </w:rPr>
      </w:pPr>
    </w:p>
    <w:p>
      <w:pPr>
        <w:keepNext w:val="0"/>
        <w:keepLines w:val="0"/>
        <w:pageBreakBefore w:val="0"/>
        <w:wordWrap/>
        <w:overflowPunct/>
        <w:topLinePunct w:val="0"/>
        <w:bidi w:val="0"/>
        <w:spacing w:line="600" w:lineRule="exact"/>
        <w:ind w:firstLine="3520" w:firstLineChars="1100"/>
        <w:jc w:val="left"/>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岳阳市城市管理综合行政执法支队</w:t>
      </w:r>
    </w:p>
    <w:p>
      <w:pPr>
        <w:pStyle w:val="3"/>
        <w:keepNext w:val="0"/>
        <w:keepLines w:val="0"/>
        <w:pageBreakBefore w:val="0"/>
        <w:wordWrap/>
        <w:overflowPunct/>
        <w:topLinePunct w:val="0"/>
        <w:bidi w:val="0"/>
        <w:spacing w:line="600" w:lineRule="exact"/>
        <w:ind w:left="0" w:leftChars="0" w:firstLine="4800" w:firstLineChars="1500"/>
        <w:rPr>
          <w:rFonts w:hint="eastAsia"/>
          <w:lang w:eastAsia="zh-CN"/>
        </w:rPr>
      </w:pPr>
      <w:r>
        <w:rPr>
          <w:rFonts w:hint="eastAsia" w:ascii="仿宋_GB2312" w:hAnsi="仿宋_GB2312" w:eastAsia="仿宋_GB2312" w:cs="仿宋_GB2312"/>
          <w:color w:val="000000"/>
          <w:sz w:val="32"/>
          <w:szCs w:val="32"/>
          <w:u w:val="none"/>
          <w:lang w:val="en-US" w:eastAsia="zh-CN"/>
        </w:rPr>
        <w:t>2024年6月22日</w:t>
      </w:r>
      <w:r>
        <w:rPr>
          <w:rFonts w:hint="eastAsia" w:ascii="仿宋_GB2312" w:hAnsi="仿宋_GB2312" w:eastAsia="仿宋_GB2312" w:cs="仿宋_GB2312"/>
          <w:sz w:val="32"/>
          <w:szCs w:val="32"/>
          <w:u w:val="none"/>
        </w:rPr>
        <w:br w:type="textWrapping"/>
      </w: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afterLines="0" w:line="360" w:lineRule="auto"/>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spacing w:after="120" w:afterLines="50" w:line="600" w:lineRule="exact"/>
        <w:jc w:val="center"/>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3</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7"/>
        <w:tblW w:w="9673" w:type="dxa"/>
        <w:jc w:val="center"/>
        <w:tblLayout w:type="fixed"/>
        <w:tblCellMar>
          <w:top w:w="0" w:type="dxa"/>
          <w:left w:w="108" w:type="dxa"/>
          <w:bottom w:w="0" w:type="dxa"/>
          <w:right w:w="108" w:type="dxa"/>
        </w:tblCellMar>
      </w:tblPr>
      <w:tblGrid>
        <w:gridCol w:w="3354"/>
        <w:gridCol w:w="1189"/>
        <w:gridCol w:w="849"/>
        <w:gridCol w:w="1129"/>
        <w:gridCol w:w="1111"/>
        <w:gridCol w:w="978"/>
        <w:gridCol w:w="1063"/>
      </w:tblGrid>
      <w:tr>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年实际在职人数</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0"/>
                <w:szCs w:val="20"/>
                <w:highlight w:val="none"/>
              </w:rPr>
            </w:pP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124</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78</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62.9%</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2</w:t>
            </w:r>
            <w:r>
              <w:rPr>
                <w:rFonts w:hint="eastAsia" w:ascii="仿宋_GB2312" w:hAnsi="仿宋_GB2312" w:eastAsia="仿宋_GB2312" w:cs="仿宋_GB2312"/>
                <w:b/>
                <w:bCs/>
                <w:sz w:val="20"/>
                <w:szCs w:val="20"/>
                <w:highlight w:val="none"/>
              </w:rPr>
              <w:t>年决算数</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年预算数</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23.99</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37.00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17.86</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23.99</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36.00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17.86</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23.99</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36.00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17.86</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1.00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332.22</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 xml:space="preserve">       </w:t>
            </w:r>
            <w:r>
              <w:rPr>
                <w:rFonts w:hint="eastAsia" w:ascii="仿宋_GB2312" w:hAnsi="仿宋_GB2312" w:eastAsia="仿宋_GB2312" w:cs="仿宋_GB2312"/>
                <w:color w:val="auto"/>
                <w:sz w:val="20"/>
                <w:szCs w:val="20"/>
                <w:highlight w:val="none"/>
                <w:lang w:val="en-US" w:eastAsia="zh-CN"/>
              </w:rPr>
              <w:t>404.39</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404.39</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1、业务工作经费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2、运行维护经费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400" w:firstLineChars="200"/>
              <w:jc w:val="left"/>
              <w:textAlignment w:val="auto"/>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rPr>
              <w:t>3、</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w:t>
            </w:r>
            <w:r>
              <w:rPr>
                <w:rFonts w:hint="eastAsia" w:ascii="仿宋_GB2312" w:hAnsi="仿宋_GB2312" w:eastAsia="仿宋_GB2312" w:cs="仿宋_GB2312"/>
                <w:sz w:val="20"/>
                <w:szCs w:val="20"/>
                <w:highlight w:val="none"/>
                <w:lang w:eastAsia="zh-CN"/>
              </w:rPr>
              <w:t>金</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auto"/>
                <w:sz w:val="20"/>
                <w:szCs w:val="20"/>
                <w:lang w:val="en-US" w:eastAsia="zh-CN"/>
              </w:rPr>
              <w:t>332.22</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 xml:space="preserve">       </w:t>
            </w:r>
            <w:r>
              <w:rPr>
                <w:rFonts w:hint="eastAsia" w:ascii="仿宋_GB2312" w:hAnsi="仿宋_GB2312" w:eastAsia="仿宋_GB2312" w:cs="仿宋_GB2312"/>
                <w:color w:val="auto"/>
                <w:sz w:val="20"/>
                <w:szCs w:val="20"/>
                <w:highlight w:val="none"/>
                <w:lang w:val="en-US" w:eastAsia="zh-CN"/>
              </w:rPr>
              <w:t>404.39</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404.39</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rPr>
              <w:t xml:space="preserve">   </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lang w:val="en-US" w:eastAsia="zh-CN"/>
              </w:rPr>
              <w:t>1）</w:t>
            </w:r>
            <w:r>
              <w:rPr>
                <w:rFonts w:hint="eastAsia" w:ascii="仿宋_GB2312" w:hAnsi="仿宋_GB2312" w:eastAsia="仿宋_GB2312" w:cs="仿宋_GB2312"/>
                <w:sz w:val="20"/>
                <w:szCs w:val="20"/>
              </w:rPr>
              <w:t>城管事务管理经费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auto"/>
                <w:sz w:val="20"/>
                <w:szCs w:val="20"/>
                <w:lang w:val="en-US" w:eastAsia="zh-CN"/>
              </w:rPr>
              <w:t>121.63</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156.82</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156.82</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rPr>
              <w:t xml:space="preserve">   </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lang w:val="en-US" w:eastAsia="zh-CN"/>
              </w:rPr>
              <w:t>2）</w:t>
            </w:r>
            <w:r>
              <w:rPr>
                <w:rFonts w:hint="default" w:ascii="仿宋_GB2312" w:hAnsi="仿宋_GB2312" w:eastAsia="仿宋_GB2312" w:cs="仿宋_GB2312"/>
                <w:sz w:val="20"/>
                <w:szCs w:val="20"/>
                <w:lang w:val="en-US" w:eastAsia="zh-CN"/>
              </w:rPr>
              <w:t>城管协管员人员经费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auto"/>
                <w:sz w:val="20"/>
                <w:szCs w:val="20"/>
                <w:lang w:val="en-US" w:eastAsia="zh-CN"/>
              </w:rPr>
              <w:t>210.59</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180.00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180.00</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 xml:space="preserve">   （3）办案费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67.57</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67.57</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auto"/>
                <w:sz w:val="20"/>
                <w:szCs w:val="20"/>
                <w:lang w:val="en-US" w:eastAsia="zh-CN"/>
              </w:rPr>
              <w:t>260.86</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234.24</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194.65</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auto"/>
                <w:sz w:val="20"/>
                <w:szCs w:val="20"/>
                <w:lang w:val="en-US" w:eastAsia="zh-CN"/>
              </w:rPr>
              <w:t>32.52</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24.42</w:t>
            </w:r>
            <w:r>
              <w:rPr>
                <w:rFonts w:hint="eastAsia" w:ascii="仿宋_GB2312" w:hAnsi="仿宋_GB2312" w:eastAsia="仿宋_GB2312" w:cs="仿宋_GB2312"/>
                <w:color w:val="auto"/>
                <w:sz w:val="20"/>
                <w:szCs w:val="20"/>
                <w:highlight w:val="none"/>
              </w:rPr>
              <w:t>　</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23.05</w:t>
            </w:r>
            <w:r>
              <w:rPr>
                <w:rFonts w:hint="eastAsia" w:ascii="仿宋_GB2312" w:hAnsi="仿宋_GB2312" w:eastAsia="仿宋_GB2312" w:cs="仿宋_GB2312"/>
                <w:color w:val="auto"/>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auto"/>
                <w:sz w:val="20"/>
                <w:szCs w:val="20"/>
                <w:lang w:val="en-US" w:eastAsia="zh-CN"/>
              </w:rPr>
              <w:t>12.31</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17.00</w:t>
            </w:r>
            <w:r>
              <w:rPr>
                <w:rFonts w:hint="eastAsia" w:ascii="仿宋_GB2312" w:hAnsi="仿宋_GB2312" w:eastAsia="仿宋_GB2312" w:cs="仿宋_GB2312"/>
                <w:color w:val="auto"/>
                <w:sz w:val="20"/>
                <w:szCs w:val="20"/>
                <w:highlight w:val="none"/>
              </w:rPr>
              <w:t>　</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12.84</w:t>
            </w:r>
            <w:r>
              <w:rPr>
                <w:rFonts w:hint="eastAsia" w:ascii="仿宋_GB2312" w:hAnsi="仿宋_GB2312" w:eastAsia="仿宋_GB2312" w:cs="仿宋_GB2312"/>
                <w:color w:val="auto"/>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FF0000"/>
                <w:sz w:val="20"/>
                <w:szCs w:val="20"/>
                <w:highlight w:val="none"/>
              </w:rPr>
            </w:pPr>
            <w:r>
              <w:rPr>
                <w:rFonts w:hint="eastAsia" w:ascii="仿宋_GB2312" w:hAnsi="仿宋_GB2312" w:eastAsia="仿宋_GB2312" w:cs="仿宋_GB2312"/>
                <w:color w:val="auto"/>
                <w:sz w:val="20"/>
                <w:szCs w:val="20"/>
                <w:lang w:val="en-US" w:eastAsia="zh-CN"/>
              </w:rPr>
              <w:t>1.71</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3.00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2.16</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320.27</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406.90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434.00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1845.04</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1642.51</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600" w:firstLineChars="300"/>
              <w:jc w:val="both"/>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1584.27</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年完工项目）</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9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0"/>
                <w:szCs w:val="20"/>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8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9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w:t>
            </w:r>
          </w:p>
        </w:tc>
      </w:tr>
      <w:tr>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lang w:val="en-US" w:eastAsia="zh-CN"/>
              </w:rPr>
              <w:t xml:space="preserve">    进一步完善了单位财务管理制度和内控管理制度，</w:t>
            </w:r>
            <w:r>
              <w:rPr>
                <w:rFonts w:hint="eastAsia" w:ascii="仿宋_GB2312" w:hAnsi="仿宋_GB2312" w:eastAsia="仿宋_GB2312" w:cs="仿宋_GB2312"/>
                <w:bCs/>
                <w:sz w:val="20"/>
                <w:szCs w:val="20"/>
                <w:lang w:val="en-US" w:eastAsia="zh-CN"/>
              </w:rPr>
              <w:t>各部门严格遵守制订的《财务管理制度》、《内控管理制度》等规章制度，</w:t>
            </w:r>
            <w:r>
              <w:rPr>
                <w:rFonts w:hint="eastAsia" w:ascii="仿宋_GB2312" w:hAnsi="仿宋_GB2312" w:eastAsia="仿宋_GB2312" w:cs="仿宋_GB2312"/>
                <w:bCs/>
                <w:sz w:val="20"/>
                <w:szCs w:val="20"/>
                <w:highlight w:val="none"/>
                <w:lang w:val="en-US" w:eastAsia="zh-CN"/>
              </w:rPr>
              <w:t>加强事前绩效评估管理，坚持先定事，再确定资金支出规模，压减一般性支出，进一步提升财政资金支出效益。定期开展“三资”清查和资产盘点工作，按照厉行节约、物尽其用的原则，资产管理采取统一建帐、统一核算管理，每件固定资产使用明确保管职责，闲置的资产，由办公室统一调整，合理流动，发挥其效益。</w:t>
            </w: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highlight w:val="none"/>
              </w:rPr>
              <w:t>　</w:t>
            </w:r>
          </w:p>
        </w:tc>
      </w:tr>
    </w:tbl>
    <w:p>
      <w:pPr>
        <w:keepNext w:val="0"/>
        <w:keepLines w:val="0"/>
        <w:pageBreakBefore w:val="0"/>
        <w:widowControl/>
        <w:kinsoku/>
        <w:wordWrap/>
        <w:overflowPunct/>
        <w:topLinePunct w:val="0"/>
        <w:autoSpaceDE/>
        <w:autoSpaceDN/>
        <w:bidi w:val="0"/>
        <w:adjustRightInd/>
        <w:snapToGrid/>
        <w:spacing w:afterLines="0" w:line="340" w:lineRule="exact"/>
        <w:jc w:val="left"/>
        <w:textAlignment w:val="auto"/>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说明：“项目支出”需要填报基本支出以外的所有项目支出情况，“公用经费”填报基本支出中的一般商品和服务支出。</w:t>
      </w:r>
    </w:p>
    <w:p>
      <w:pPr>
        <w:keepNext w:val="0"/>
        <w:keepLines w:val="0"/>
        <w:pageBreakBefore w:val="0"/>
        <w:widowControl/>
        <w:kinsoku/>
        <w:wordWrap/>
        <w:overflowPunct/>
        <w:topLinePunct w:val="0"/>
        <w:autoSpaceDE/>
        <w:autoSpaceDN/>
        <w:bidi w:val="0"/>
        <w:adjustRightInd/>
        <w:snapToGrid/>
        <w:spacing w:afterLines="0" w:line="340" w:lineRule="exact"/>
        <w:jc w:val="left"/>
        <w:textAlignment w:val="auto"/>
        <w:rPr>
          <w:rFonts w:hint="default" w:ascii="Times New Roman" w:hAnsi="Times New Roman" w:eastAsia="仿宋_GB2312" w:cs="Times New Roman"/>
          <w:sz w:val="22"/>
          <w:highlight w:val="none"/>
        </w:rPr>
      </w:pPr>
    </w:p>
    <w:p>
      <w:pPr>
        <w:keepNext w:val="0"/>
        <w:keepLines w:val="0"/>
        <w:pageBreakBefore w:val="0"/>
        <w:widowControl/>
        <w:kinsoku/>
        <w:wordWrap/>
        <w:overflowPunct/>
        <w:topLinePunct w:val="0"/>
        <w:autoSpaceDE/>
        <w:autoSpaceDN/>
        <w:bidi w:val="0"/>
        <w:adjustRightInd/>
        <w:snapToGrid/>
        <w:spacing w:after="0" w:afterLines="0" w:line="340" w:lineRule="exact"/>
        <w:jc w:val="left"/>
        <w:textAlignment w:val="auto"/>
        <w:rPr>
          <w:rFonts w:hint="eastAsia" w:ascii="CESI仿宋-GB2312" w:hAnsi="CESI仿宋-GB2312" w:eastAsia="CESI仿宋-GB2312" w:cs="CESI仿宋-GB2312"/>
          <w:color w:val="auto"/>
          <w:sz w:val="22"/>
          <w:szCs w:val="22"/>
          <w:lang w:eastAsia="zh-CN"/>
        </w:rPr>
      </w:pPr>
      <w:r>
        <w:rPr>
          <w:rFonts w:hint="eastAsia" w:ascii="CESI仿宋-GB2312" w:hAnsi="CESI仿宋-GB2312" w:eastAsia="CESI仿宋-GB2312" w:cs="CESI仿宋-GB2312"/>
          <w:color w:val="auto"/>
          <w:sz w:val="22"/>
          <w:szCs w:val="22"/>
        </w:rPr>
        <w:t>填表人：</w:t>
      </w:r>
      <w:r>
        <w:rPr>
          <w:rFonts w:hint="eastAsia" w:ascii="CESI仿宋-GB2312" w:hAnsi="CESI仿宋-GB2312" w:eastAsia="CESI仿宋-GB2312" w:cs="CESI仿宋-GB2312"/>
          <w:color w:val="auto"/>
          <w:sz w:val="24"/>
          <w:lang w:val="en-US" w:eastAsia="zh-CN"/>
        </w:rPr>
        <w:t>喻秀娥</w:t>
      </w:r>
      <w:r>
        <w:rPr>
          <w:rFonts w:hint="eastAsia" w:ascii="CESI仿宋-GB2312" w:hAnsi="CESI仿宋-GB2312" w:eastAsia="CESI仿宋-GB2312" w:cs="CESI仿宋-GB2312"/>
          <w:color w:val="auto"/>
          <w:sz w:val="22"/>
          <w:szCs w:val="22"/>
        </w:rPr>
        <w:t xml:space="preserve">  填报日期：</w:t>
      </w:r>
      <w:r>
        <w:rPr>
          <w:rFonts w:hint="eastAsia" w:ascii="CESI仿宋-GB2312" w:hAnsi="CESI仿宋-GB2312" w:eastAsia="CESI仿宋-GB2312" w:cs="CESI仿宋-GB2312"/>
          <w:color w:val="auto"/>
          <w:sz w:val="22"/>
          <w:szCs w:val="22"/>
          <w:lang w:val="en-US" w:eastAsia="zh-CN"/>
        </w:rPr>
        <w:t>2024.6.22</w:t>
      </w:r>
      <w:r>
        <w:rPr>
          <w:rFonts w:hint="eastAsia" w:ascii="CESI仿宋-GB2312" w:hAnsi="CESI仿宋-GB2312" w:eastAsia="CESI仿宋-GB2312" w:cs="CESI仿宋-GB2312"/>
          <w:color w:val="auto"/>
          <w:sz w:val="22"/>
          <w:szCs w:val="22"/>
        </w:rPr>
        <w:t xml:space="preserve">  联系电话：</w:t>
      </w:r>
      <w:r>
        <w:rPr>
          <w:rFonts w:hint="eastAsia" w:ascii="CESI仿宋-GB2312" w:hAnsi="CESI仿宋-GB2312" w:eastAsia="CESI仿宋-GB2312" w:cs="CESI仿宋-GB2312"/>
          <w:color w:val="auto"/>
          <w:sz w:val="22"/>
          <w:szCs w:val="22"/>
          <w:lang w:val="en-US" w:eastAsia="zh-CN"/>
        </w:rPr>
        <w:t>0730-8227298</w:t>
      </w:r>
      <w:r>
        <w:rPr>
          <w:rFonts w:hint="eastAsia" w:ascii="CESI仿宋-GB2312" w:hAnsi="CESI仿宋-GB2312" w:eastAsia="CESI仿宋-GB2312" w:cs="CESI仿宋-GB2312"/>
          <w:color w:val="auto"/>
          <w:sz w:val="22"/>
          <w:szCs w:val="22"/>
        </w:rPr>
        <w:t xml:space="preserve"> </w:t>
      </w:r>
      <w:r>
        <w:rPr>
          <w:rFonts w:hint="eastAsia" w:ascii="CESI仿宋-GB2312" w:hAnsi="CESI仿宋-GB2312" w:eastAsia="CESI仿宋-GB2312" w:cs="CESI仿宋-GB2312"/>
          <w:color w:val="auto"/>
          <w:sz w:val="22"/>
          <w:szCs w:val="22"/>
          <w:lang w:val="en-US" w:eastAsia="zh-CN"/>
        </w:rPr>
        <w:t xml:space="preserve"> </w:t>
      </w:r>
      <w:r>
        <w:rPr>
          <w:rFonts w:hint="eastAsia" w:ascii="CESI仿宋-GB2312" w:hAnsi="CESI仿宋-GB2312" w:eastAsia="CESI仿宋-GB2312" w:cs="CESI仿宋-GB2312"/>
          <w:color w:val="auto"/>
          <w:sz w:val="22"/>
          <w:szCs w:val="22"/>
        </w:rPr>
        <w:t>单位负责人：</w:t>
      </w:r>
      <w:r>
        <w:rPr>
          <w:rFonts w:hint="eastAsia" w:ascii="CESI仿宋-GB2312" w:hAnsi="CESI仿宋-GB2312" w:eastAsia="CESI仿宋-GB2312" w:cs="CESI仿宋-GB2312"/>
          <w:color w:val="auto"/>
          <w:sz w:val="22"/>
          <w:szCs w:val="22"/>
          <w:lang w:eastAsia="zh-CN"/>
        </w:rPr>
        <w:t>郭沫农</w:t>
      </w:r>
    </w:p>
    <w:p>
      <w:pPr>
        <w:widowControl/>
        <w:spacing w:after="0" w:afterLines="0" w:line="400" w:lineRule="exact"/>
        <w:jc w:val="left"/>
        <w:rPr>
          <w:rFonts w:hint="eastAsia" w:ascii="CESI仿宋-GB2312" w:hAnsi="CESI仿宋-GB2312" w:eastAsia="CESI仿宋-GB2312" w:cs="CESI仿宋-GB2312"/>
          <w:color w:val="auto"/>
          <w:sz w:val="32"/>
          <w:szCs w:val="32"/>
          <w:highlight w:val="none"/>
          <w:lang w:eastAsia="zh-CN"/>
        </w:rPr>
      </w:pPr>
      <w:r>
        <w:rPr>
          <w:rFonts w:hint="eastAsia" w:ascii="CESI仿宋-GB2312" w:hAnsi="CESI仿宋-GB2312" w:eastAsia="CESI仿宋-GB2312" w:cs="CESI仿宋-GB2312"/>
          <w:color w:val="auto"/>
          <w:sz w:val="32"/>
          <w:szCs w:val="32"/>
          <w:highlight w:val="none"/>
        </w:rPr>
        <w:t>附件</w:t>
      </w:r>
      <w:r>
        <w:rPr>
          <w:rFonts w:hint="eastAsia" w:ascii="CESI仿宋-GB2312" w:hAnsi="CESI仿宋-GB2312" w:eastAsia="CESI仿宋-GB2312" w:cs="CESI仿宋-GB2312"/>
          <w:color w:val="auto"/>
          <w:sz w:val="32"/>
          <w:szCs w:val="32"/>
          <w:highlight w:val="none"/>
          <w:lang w:val="en-US" w:eastAsia="zh-CN"/>
        </w:rPr>
        <w:t>2</w:t>
      </w:r>
    </w:p>
    <w:p>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7"/>
        <w:tblW w:w="10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062"/>
        <w:gridCol w:w="1010"/>
        <w:gridCol w:w="1346"/>
        <w:gridCol w:w="1290"/>
        <w:gridCol w:w="1275"/>
        <w:gridCol w:w="780"/>
        <w:gridCol w:w="825"/>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9019" w:type="dxa"/>
            <w:gridSpan w:val="8"/>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岳阳市城市管理综合行政执法支队</w:t>
            </w: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07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p>
        </w:tc>
        <w:tc>
          <w:tcPr>
            <w:tcW w:w="134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2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2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7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2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31"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2072" w:type="dxa"/>
            <w:gridSpan w:val="2"/>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346"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1688.55</w:t>
            </w:r>
          </w:p>
        </w:tc>
        <w:tc>
          <w:tcPr>
            <w:tcW w:w="12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2046.90</w:t>
            </w:r>
          </w:p>
        </w:tc>
        <w:tc>
          <w:tcPr>
            <w:tcW w:w="127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1988.66</w:t>
            </w:r>
          </w:p>
        </w:tc>
        <w:tc>
          <w:tcPr>
            <w:tcW w:w="78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82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97.15%</w:t>
            </w:r>
          </w:p>
        </w:tc>
        <w:tc>
          <w:tcPr>
            <w:tcW w:w="1431"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400" w:firstLineChars="200"/>
              <w:jc w:val="both"/>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6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4708"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按收入性质分：</w:t>
            </w:r>
          </w:p>
        </w:tc>
        <w:tc>
          <w:tcPr>
            <w:tcW w:w="4311"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4708"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xml:space="preserve"> </w:t>
            </w:r>
            <w:r>
              <w:rPr>
                <w:rFonts w:hint="eastAsia" w:ascii="仿宋_GB2312" w:hAnsi="仿宋_GB2312" w:eastAsia="仿宋_GB2312" w:cs="仿宋_GB2312"/>
                <w:color w:val="000000"/>
                <w:sz w:val="20"/>
                <w:szCs w:val="20"/>
                <w:highlight w:val="none"/>
                <w:lang w:val="en-US" w:eastAsia="zh-CN"/>
              </w:rPr>
              <w:t xml:space="preserve">      </w:t>
            </w:r>
            <w:r>
              <w:rPr>
                <w:rFonts w:hint="eastAsia" w:ascii="仿宋_GB2312" w:hAnsi="仿宋_GB2312" w:eastAsia="仿宋_GB2312" w:cs="仿宋_GB2312"/>
                <w:color w:val="000000"/>
                <w:sz w:val="20"/>
                <w:szCs w:val="20"/>
                <w:highlight w:val="none"/>
              </w:rPr>
              <w:t xml:space="preserve"> 其中</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一般公共预算：</w:t>
            </w:r>
            <w:r>
              <w:rPr>
                <w:rFonts w:hint="eastAsia" w:ascii="仿宋_GB2312" w:hAnsi="仿宋_GB2312" w:eastAsia="仿宋_GB2312" w:cs="仿宋_GB2312"/>
                <w:color w:val="000000"/>
                <w:sz w:val="20"/>
                <w:szCs w:val="20"/>
                <w:highlight w:val="none"/>
                <w:lang w:val="en-US" w:eastAsia="zh-CN"/>
              </w:rPr>
              <w:t>2044.78</w:t>
            </w:r>
          </w:p>
        </w:tc>
        <w:tc>
          <w:tcPr>
            <w:tcW w:w="4311"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其中：基本支出：</w:t>
            </w:r>
            <w:r>
              <w:rPr>
                <w:rFonts w:hint="eastAsia" w:ascii="仿宋_GB2312" w:hAnsi="仿宋_GB2312" w:eastAsia="仿宋_GB2312" w:cs="仿宋_GB2312"/>
                <w:color w:val="000000"/>
                <w:sz w:val="20"/>
                <w:szCs w:val="20"/>
                <w:highlight w:val="none"/>
                <w:lang w:val="en-US" w:eastAsia="zh-CN"/>
              </w:rPr>
              <w:t>1584.27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4708"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1200" w:firstLineChars="6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政府性基金拨款：</w:t>
            </w:r>
          </w:p>
        </w:tc>
        <w:tc>
          <w:tcPr>
            <w:tcW w:w="4311"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项目支出：</w:t>
            </w:r>
            <w:r>
              <w:rPr>
                <w:rFonts w:hint="eastAsia" w:ascii="仿宋_GB2312" w:hAnsi="仿宋_GB2312" w:eastAsia="仿宋_GB2312" w:cs="仿宋_GB2312"/>
                <w:color w:val="000000"/>
                <w:sz w:val="20"/>
                <w:szCs w:val="20"/>
                <w:highlight w:val="none"/>
                <w:lang w:val="en-US" w:eastAsia="zh-CN"/>
              </w:rPr>
              <w:t>404.39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06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4708"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纳入专户管理的非税收入拨款：</w:t>
            </w:r>
          </w:p>
        </w:tc>
        <w:tc>
          <w:tcPr>
            <w:tcW w:w="4311"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4708"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1800" w:firstLineChars="9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其他资金：</w:t>
            </w:r>
            <w:r>
              <w:rPr>
                <w:rFonts w:hint="eastAsia" w:ascii="仿宋_GB2312" w:hAnsi="仿宋_GB2312" w:eastAsia="仿宋_GB2312" w:cs="仿宋_GB2312"/>
                <w:color w:val="000000"/>
                <w:sz w:val="20"/>
                <w:szCs w:val="20"/>
                <w:highlight w:val="none"/>
                <w:lang w:val="en-US" w:eastAsia="zh-CN"/>
              </w:rPr>
              <w:t>2.12</w:t>
            </w:r>
          </w:p>
        </w:tc>
        <w:tc>
          <w:tcPr>
            <w:tcW w:w="4311"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6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708"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11" w:type="dxa"/>
            <w:gridSpan w:val="4"/>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4708" w:type="dxa"/>
            <w:gridSpan w:val="4"/>
            <w:noWrap w:val="0"/>
            <w:vAlign w:val="center"/>
          </w:tcPr>
          <w:p>
            <w:pPr>
              <w:keepNext w:val="0"/>
              <w:keepLines w:val="0"/>
              <w:pageBreakBefore w:val="0"/>
              <w:widowControl/>
              <w:numPr>
                <w:ilvl w:val="0"/>
                <w:numId w:val="5"/>
              </w:numPr>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贯彻执行国家有关城市管理方面的法律法规规章和政策规定；</w:t>
            </w:r>
          </w:p>
          <w:p>
            <w:pPr>
              <w:keepNext w:val="0"/>
              <w:keepLines w:val="0"/>
              <w:pageBreakBefore w:val="0"/>
              <w:widowControl/>
              <w:numPr>
                <w:ilvl w:val="0"/>
                <w:numId w:val="5"/>
              </w:numPr>
              <w:kinsoku/>
              <w:wordWrap/>
              <w:overflowPunct/>
              <w:topLinePunct w:val="0"/>
              <w:autoSpaceDE/>
              <w:autoSpaceDN/>
              <w:bidi w:val="0"/>
              <w:adjustRightInd/>
              <w:snapToGrid/>
              <w:spacing w:line="240" w:lineRule="exact"/>
              <w:ind w:left="0" w:leftChars="0"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负责行使市本级管理权限范围内市政公用设施运行管理、市容环境卫生、园林绿化管理、城镇燃气管理等城市管理方面的行政处罚权及相应的行政强制权；</w:t>
            </w:r>
          </w:p>
          <w:p>
            <w:pPr>
              <w:keepNext w:val="0"/>
              <w:keepLines w:val="0"/>
              <w:pageBreakBefore w:val="0"/>
              <w:widowControl/>
              <w:numPr>
                <w:ilvl w:val="0"/>
                <w:numId w:val="5"/>
              </w:numPr>
              <w:kinsoku/>
              <w:wordWrap/>
              <w:overflowPunct/>
              <w:topLinePunct w:val="0"/>
              <w:autoSpaceDE/>
              <w:autoSpaceDN/>
              <w:bidi w:val="0"/>
              <w:adjustRightInd/>
              <w:snapToGrid/>
              <w:spacing w:line="240" w:lineRule="exact"/>
              <w:ind w:left="0" w:leftChars="0"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负责逐步全面行使市本级范围内住房和城乡建设领域法律法规规章规定的行政处罚权及相应的行政强制权；</w:t>
            </w:r>
          </w:p>
          <w:p>
            <w:pPr>
              <w:keepNext w:val="0"/>
              <w:keepLines w:val="0"/>
              <w:pageBreakBefore w:val="0"/>
              <w:widowControl/>
              <w:numPr>
                <w:ilvl w:val="0"/>
                <w:numId w:val="5"/>
              </w:numPr>
              <w:kinsoku/>
              <w:wordWrap/>
              <w:overflowPunct/>
              <w:topLinePunct w:val="0"/>
              <w:autoSpaceDE/>
              <w:autoSpaceDN/>
              <w:bidi w:val="0"/>
              <w:adjustRightInd/>
              <w:snapToGrid/>
              <w:spacing w:line="240" w:lineRule="exact"/>
              <w:ind w:left="0" w:leftChars="0"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负责行使市本级管理权限范围内建筑施工场地噪音污染、扬尘污染等生态环境保护管理方面的行政处罚权及相应的行政强制权</w:t>
            </w:r>
            <w:r>
              <w:rPr>
                <w:rFonts w:hint="eastAsia" w:ascii="仿宋_GB2312" w:hAnsi="仿宋_GB2312" w:eastAsia="仿宋_GB2312" w:cs="仿宋_GB2312"/>
                <w:color w:val="000000"/>
                <w:sz w:val="20"/>
                <w:szCs w:val="20"/>
                <w:highlight w:val="none"/>
                <w:lang w:eastAsia="zh-CN"/>
              </w:rPr>
              <w:t>；</w:t>
            </w:r>
          </w:p>
          <w:p>
            <w:pPr>
              <w:keepNext w:val="0"/>
              <w:keepLines w:val="0"/>
              <w:pageBreakBefore w:val="0"/>
              <w:widowControl/>
              <w:numPr>
                <w:ilvl w:val="0"/>
                <w:numId w:val="5"/>
              </w:numPr>
              <w:kinsoku/>
              <w:wordWrap/>
              <w:overflowPunct/>
              <w:topLinePunct w:val="0"/>
              <w:autoSpaceDE/>
              <w:autoSpaceDN/>
              <w:bidi w:val="0"/>
              <w:adjustRightInd/>
              <w:snapToGrid/>
              <w:spacing w:line="240" w:lineRule="exact"/>
              <w:ind w:left="0" w:leftChars="0"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为我市打造名副其实的省域副中心城市创造良好的市容管理秩序。　　</w:t>
            </w:r>
          </w:p>
        </w:tc>
        <w:tc>
          <w:tcPr>
            <w:tcW w:w="4311" w:type="dxa"/>
            <w:gridSpan w:val="4"/>
            <w:noWrap w:val="0"/>
            <w:vAlign w:val="center"/>
          </w:tcPr>
          <w:p>
            <w:pPr>
              <w:keepNext w:val="0"/>
              <w:keepLines w:val="0"/>
              <w:pageBreakBefore w:val="0"/>
              <w:kinsoku/>
              <w:wordWrap/>
              <w:overflowPunct/>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val="en-US" w:eastAsia="zh-CN"/>
              </w:rPr>
              <w:t>1、</w:t>
            </w:r>
            <w:r>
              <w:rPr>
                <w:rFonts w:hint="eastAsia" w:ascii="仿宋_GB2312" w:hAnsi="仿宋_GB2312" w:eastAsia="仿宋_GB2312" w:cs="仿宋_GB2312"/>
                <w:sz w:val="20"/>
                <w:szCs w:val="20"/>
                <w:lang w:eastAsia="zh-CN"/>
              </w:rPr>
              <w:t>贯彻执行国家有关城市管理方面的法律法规、规章</w:t>
            </w:r>
            <w:r>
              <w:rPr>
                <w:rFonts w:hint="eastAsia" w:ascii="仿宋_GB2312" w:hAnsi="仿宋_GB2312" w:eastAsia="仿宋_GB2312" w:cs="仿宋_GB2312"/>
                <w:sz w:val="20"/>
                <w:szCs w:val="20"/>
                <w:lang w:val="en-US" w:eastAsia="zh-CN"/>
              </w:rPr>
              <w:t>等</w:t>
            </w:r>
            <w:r>
              <w:rPr>
                <w:rFonts w:hint="eastAsia" w:ascii="仿宋_GB2312" w:hAnsi="仿宋_GB2312" w:eastAsia="仿宋_GB2312" w:cs="仿宋_GB2312"/>
                <w:sz w:val="20"/>
                <w:szCs w:val="20"/>
                <w:lang w:eastAsia="zh-CN"/>
              </w:rPr>
              <w:t>政策规定</w:t>
            </w:r>
            <w:r>
              <w:rPr>
                <w:rFonts w:hint="eastAsia" w:ascii="仿宋_GB2312" w:hAnsi="仿宋_GB2312" w:eastAsia="仿宋_GB2312" w:cs="仿宋_GB2312"/>
                <w:sz w:val="20"/>
                <w:szCs w:val="20"/>
                <w:lang w:val="en-US" w:eastAsia="zh-CN"/>
              </w:rPr>
              <w:t>效果良好</w:t>
            </w:r>
            <w:r>
              <w:rPr>
                <w:rFonts w:hint="eastAsia" w:ascii="仿宋_GB2312" w:hAnsi="仿宋_GB2312" w:eastAsia="仿宋_GB2312" w:cs="仿宋_GB2312"/>
                <w:sz w:val="20"/>
                <w:szCs w:val="20"/>
                <w:lang w:eastAsia="zh-CN"/>
              </w:rPr>
              <w:t>；</w:t>
            </w:r>
          </w:p>
          <w:p>
            <w:pPr>
              <w:keepNext w:val="0"/>
              <w:keepLines w:val="0"/>
              <w:pageBreakBefore w:val="0"/>
              <w:kinsoku/>
              <w:wordWrap/>
              <w:overflowPunct/>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2、</w:t>
            </w:r>
            <w:r>
              <w:rPr>
                <w:rFonts w:hint="eastAsia" w:ascii="仿宋_GB2312" w:hAnsi="仿宋_GB2312" w:eastAsia="仿宋_GB2312" w:cs="仿宋_GB2312"/>
                <w:sz w:val="20"/>
                <w:szCs w:val="20"/>
                <w:lang w:eastAsia="zh-CN"/>
              </w:rPr>
              <w:t>市本级管理权限范围内市政公用设施运行管理、市容环境卫生、园林绿化管理、城镇燃气管理等城市管理方面的行政处罚权及相应的行政强制权，</w:t>
            </w:r>
            <w:r>
              <w:rPr>
                <w:rFonts w:hint="eastAsia" w:ascii="仿宋_GB2312" w:hAnsi="仿宋_GB2312" w:eastAsia="仿宋_GB2312" w:cs="仿宋_GB2312"/>
                <w:sz w:val="20"/>
                <w:szCs w:val="20"/>
                <w:lang w:val="en-US" w:eastAsia="zh-CN"/>
              </w:rPr>
              <w:t>执法合法合规，效果良好</w:t>
            </w:r>
            <w:r>
              <w:rPr>
                <w:rFonts w:hint="eastAsia" w:ascii="仿宋_GB2312" w:hAnsi="仿宋_GB2312" w:eastAsia="仿宋_GB2312" w:cs="仿宋_GB2312"/>
                <w:sz w:val="20"/>
                <w:szCs w:val="20"/>
                <w:lang w:eastAsia="zh-CN"/>
              </w:rPr>
              <w:t>；</w:t>
            </w:r>
          </w:p>
          <w:p>
            <w:pPr>
              <w:keepNext w:val="0"/>
              <w:keepLines w:val="0"/>
              <w:pageBreakBefore w:val="0"/>
              <w:kinsoku/>
              <w:wordWrap/>
              <w:overflowPunct/>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3、</w:t>
            </w:r>
            <w:r>
              <w:rPr>
                <w:rFonts w:hint="eastAsia" w:ascii="仿宋_GB2312" w:hAnsi="仿宋_GB2312" w:eastAsia="仿宋_GB2312" w:cs="仿宋_GB2312"/>
                <w:sz w:val="20"/>
                <w:szCs w:val="20"/>
                <w:lang w:eastAsia="zh-CN"/>
              </w:rPr>
              <w:t>市本级范围内住房和城乡建设领域法律法规规章规定的行政处罚权及相应的行政强制权，</w:t>
            </w:r>
            <w:r>
              <w:rPr>
                <w:rFonts w:hint="eastAsia" w:ascii="仿宋_GB2312" w:hAnsi="仿宋_GB2312" w:eastAsia="仿宋_GB2312" w:cs="仿宋_GB2312"/>
                <w:sz w:val="20"/>
                <w:szCs w:val="20"/>
                <w:lang w:val="en-US" w:eastAsia="zh-CN"/>
              </w:rPr>
              <w:t>执法合法合规，效果明显</w:t>
            </w:r>
            <w:r>
              <w:rPr>
                <w:rFonts w:hint="eastAsia" w:ascii="仿宋_GB2312" w:hAnsi="仿宋_GB2312" w:eastAsia="仿宋_GB2312" w:cs="仿宋_GB2312"/>
                <w:sz w:val="20"/>
                <w:szCs w:val="20"/>
                <w:lang w:eastAsia="zh-CN"/>
              </w:rPr>
              <w:t>；</w:t>
            </w:r>
          </w:p>
          <w:p>
            <w:pPr>
              <w:keepNext w:val="0"/>
              <w:keepLines w:val="0"/>
              <w:pageBreakBefore w:val="0"/>
              <w:kinsoku/>
              <w:wordWrap/>
              <w:overflowPunct/>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w:t>
            </w:r>
            <w:r>
              <w:rPr>
                <w:rFonts w:hint="eastAsia" w:ascii="仿宋_GB2312" w:hAnsi="仿宋_GB2312" w:eastAsia="仿宋_GB2312" w:cs="仿宋_GB2312"/>
                <w:sz w:val="20"/>
                <w:szCs w:val="20"/>
                <w:lang w:eastAsia="zh-CN"/>
              </w:rPr>
              <w:t>市本级管理权限范围内建筑施工场地噪音污染、扬尘污染等生态环境保护管理方面的行政处罚权及相应的行政强制权，</w:t>
            </w:r>
            <w:r>
              <w:rPr>
                <w:rFonts w:hint="eastAsia" w:ascii="仿宋_GB2312" w:hAnsi="仿宋_GB2312" w:eastAsia="仿宋_GB2312" w:cs="仿宋_GB2312"/>
                <w:sz w:val="20"/>
                <w:szCs w:val="20"/>
                <w:lang w:val="en-US" w:eastAsia="zh-CN"/>
              </w:rPr>
              <w:t>执法合法合规，效果明显；</w:t>
            </w:r>
          </w:p>
          <w:p>
            <w:pPr>
              <w:keepNext w:val="0"/>
              <w:keepLines w:val="0"/>
              <w:pageBreakBefore w:val="0"/>
              <w:kinsoku/>
              <w:wordWrap/>
              <w:overflowPunct/>
              <w:topLinePunct w:val="0"/>
              <w:autoSpaceDE/>
              <w:autoSpaceDN/>
              <w:bidi w:val="0"/>
              <w:adjustRightInd/>
              <w:snapToGrid/>
              <w:spacing w:line="240" w:lineRule="exact"/>
              <w:ind w:firstLine="400" w:firstLineChars="200"/>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lang w:val="en-US" w:eastAsia="zh-CN"/>
              </w:rPr>
              <w:t xml:space="preserve"> 5、</w:t>
            </w:r>
            <w:r>
              <w:rPr>
                <w:rFonts w:hint="eastAsia" w:ascii="仿宋_GB2312" w:hAnsi="仿宋_GB2312" w:eastAsia="仿宋_GB2312" w:cs="仿宋_GB2312"/>
                <w:sz w:val="20"/>
                <w:szCs w:val="20"/>
                <w:lang w:eastAsia="zh-CN"/>
              </w:rPr>
              <w:t>为我市打造名副其实的省域副中心城市创造</w:t>
            </w:r>
            <w:r>
              <w:rPr>
                <w:rFonts w:hint="eastAsia" w:ascii="仿宋_GB2312" w:hAnsi="仿宋_GB2312" w:eastAsia="仿宋_GB2312" w:cs="仿宋_GB2312"/>
                <w:sz w:val="20"/>
                <w:szCs w:val="20"/>
                <w:lang w:val="en-US" w:eastAsia="zh-CN"/>
              </w:rPr>
              <w:t>了</w:t>
            </w:r>
            <w:r>
              <w:rPr>
                <w:rFonts w:hint="eastAsia" w:ascii="仿宋_GB2312" w:hAnsi="仿宋_GB2312" w:eastAsia="仿宋_GB2312" w:cs="仿宋_GB2312"/>
                <w:sz w:val="20"/>
                <w:szCs w:val="20"/>
                <w:lang w:eastAsia="zh-CN"/>
              </w:rPr>
              <w:t>良好的市容管理秩序。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0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1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3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3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6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1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3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案件办结</w:t>
            </w:r>
            <w:r>
              <w:rPr>
                <w:rFonts w:hint="eastAsia" w:ascii="仿宋_GB2312" w:hAnsi="仿宋_GB2312" w:eastAsia="仿宋_GB2312" w:cs="仿宋_GB2312"/>
                <w:color w:val="000000"/>
                <w:sz w:val="20"/>
                <w:szCs w:val="20"/>
                <w:highlight w:val="none"/>
                <w:lang w:val="en-US" w:eastAsia="zh-CN"/>
              </w:rPr>
              <w:t>数量</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达30起</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53起</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3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及时处理违规行为，强化行政管理，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6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6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1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3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日常巡查</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lang w:eastAsia="zh-CN"/>
              </w:rPr>
              <w:t>600</w:t>
            </w:r>
            <w:r>
              <w:rPr>
                <w:rFonts w:hint="eastAsia" w:ascii="仿宋_GB2312" w:hAnsi="仿宋_GB2312" w:eastAsia="仿宋_GB2312" w:cs="仿宋_GB2312"/>
                <w:color w:val="000000"/>
                <w:sz w:val="20"/>
                <w:szCs w:val="20"/>
                <w:lang w:val="en-US" w:eastAsia="zh-CN"/>
              </w:rPr>
              <w:t>次</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达700余次</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3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6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3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法律法规、作风纪律、文明执法培训等</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color w:val="000000"/>
                <w:sz w:val="20"/>
                <w:szCs w:val="20"/>
                <w:lang w:val="en-US" w:eastAsia="zh-CN"/>
              </w:rPr>
              <w:t>≥2次/年</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3次</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3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6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1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3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行政执法程序合法、依据合理，以事实为依据，以法律为准绳。</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行政执法合理、合法、合规率≥95</w:t>
            </w:r>
            <w:r>
              <w:rPr>
                <w:rFonts w:hint="eastAsia" w:ascii="仿宋_GB2312" w:hAnsi="仿宋_GB2312" w:eastAsia="仿宋_GB2312" w:cs="仿宋_GB2312"/>
                <w:color w:val="000000"/>
                <w:sz w:val="20"/>
                <w:szCs w:val="20"/>
                <w:highlight w:val="none"/>
                <w:lang w:val="en-US" w:eastAsia="zh-CN"/>
              </w:rPr>
              <w:t>%</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宋体" w:hAnsi="宋体" w:eastAsia="宋体" w:cs="宋体"/>
                <w:color w:val="000000"/>
                <w:sz w:val="20"/>
                <w:szCs w:val="20"/>
                <w:lang w:val="en-US" w:eastAsia="zh-CN"/>
              </w:rPr>
              <w:t>≧</w:t>
            </w:r>
            <w:r>
              <w:rPr>
                <w:rFonts w:hint="default" w:ascii="仿宋_GB2312" w:hAnsi="仿宋_GB2312" w:eastAsia="仿宋_GB2312" w:cs="仿宋_GB2312"/>
                <w:color w:val="000000"/>
                <w:sz w:val="20"/>
                <w:szCs w:val="20"/>
                <w:lang w:val="en-US" w:eastAsia="zh-CN"/>
              </w:rPr>
              <w:t>9</w:t>
            </w:r>
            <w:r>
              <w:rPr>
                <w:rFonts w:hint="eastAsia" w:ascii="仿宋_GB2312" w:hAnsi="仿宋_GB2312" w:eastAsia="仿宋_GB2312" w:cs="仿宋_GB2312"/>
                <w:color w:val="000000"/>
                <w:sz w:val="20"/>
                <w:szCs w:val="20"/>
                <w:lang w:val="en-US" w:eastAsia="zh-CN"/>
              </w:rPr>
              <w:t>9.5%</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3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6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1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3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文明执法</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文明执法，无违规投诉案件。</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全年无违规投诉</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3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6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3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按上级文件执行</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按上级文件执行</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100%</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3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6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1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3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按照计划和进度完成全年工作</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按时完成率达100%</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3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6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1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3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投诉案件处置时效</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市民投诉处置及时</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lang w:val="en-US" w:eastAsia="zh-CN"/>
              </w:rPr>
              <w:t>市民投诉均在规定时限内办结</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3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6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1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3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控制在预算成本之内</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控制在预算金额</w:t>
            </w:r>
            <w:r>
              <w:rPr>
                <w:rFonts w:hint="eastAsia" w:ascii="仿宋_GB2312" w:hAnsi="仿宋_GB2312" w:eastAsia="仿宋_GB2312" w:cs="仿宋_GB2312"/>
                <w:sz w:val="20"/>
                <w:szCs w:val="20"/>
                <w:highlight w:val="none"/>
                <w:lang w:val="en-US" w:eastAsia="zh-CN"/>
              </w:rPr>
              <w:t>2046.9万元内</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lang w:val="en-US" w:eastAsia="zh-CN"/>
              </w:rPr>
              <w:t>实际支出1988.66万元</w:t>
            </w:r>
            <w:r>
              <w:rPr>
                <w:rFonts w:hint="eastAsia" w:ascii="仿宋_GB2312" w:hAnsi="仿宋_GB2312" w:eastAsia="仿宋_GB2312" w:cs="仿宋_GB2312"/>
                <w:color w:val="000000"/>
                <w:sz w:val="20"/>
                <w:szCs w:val="20"/>
                <w:highlight w:val="none"/>
              </w:rPr>
              <w:t>　</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3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6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1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3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是否对社会发展造成负面影响</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r>
              <w:rPr>
                <w:rFonts w:hint="eastAsia" w:ascii="仿宋_GB2312" w:hAnsi="仿宋_GB2312" w:eastAsia="仿宋_GB2312" w:cs="仿宋_GB2312"/>
                <w:i w:val="0"/>
                <w:iCs w:val="0"/>
                <w:color w:val="000000"/>
                <w:kern w:val="0"/>
                <w:sz w:val="20"/>
                <w:szCs w:val="20"/>
                <w:u w:val="none"/>
                <w:lang w:val="en-US" w:eastAsia="zh-CN" w:bidi="ar"/>
              </w:rPr>
              <w:t>负面影响</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r>
              <w:rPr>
                <w:rFonts w:hint="eastAsia" w:ascii="仿宋_GB2312" w:hAnsi="仿宋_GB2312" w:eastAsia="仿宋_GB2312" w:cs="仿宋_GB2312"/>
                <w:i w:val="0"/>
                <w:iCs w:val="0"/>
                <w:color w:val="000000"/>
                <w:kern w:val="0"/>
                <w:sz w:val="20"/>
                <w:szCs w:val="20"/>
                <w:u w:val="none"/>
                <w:lang w:val="en-US" w:eastAsia="zh-CN" w:bidi="ar"/>
              </w:rPr>
              <w:t>负面影响</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3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34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是否对生态环境造成负面影响</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r>
              <w:rPr>
                <w:rFonts w:hint="eastAsia" w:ascii="仿宋_GB2312" w:hAnsi="仿宋_GB2312" w:eastAsia="仿宋_GB2312" w:cs="仿宋_GB2312"/>
                <w:i w:val="0"/>
                <w:iCs w:val="0"/>
                <w:color w:val="000000"/>
                <w:kern w:val="0"/>
                <w:sz w:val="20"/>
                <w:szCs w:val="20"/>
                <w:u w:val="none"/>
                <w:lang w:val="en-US" w:eastAsia="zh-CN" w:bidi="ar"/>
              </w:rPr>
              <w:t>负面影响</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r>
              <w:rPr>
                <w:rFonts w:hint="eastAsia" w:ascii="仿宋_GB2312" w:hAnsi="仿宋_GB2312" w:eastAsia="仿宋_GB2312" w:cs="仿宋_GB2312"/>
                <w:i w:val="0"/>
                <w:iCs w:val="0"/>
                <w:color w:val="000000"/>
                <w:kern w:val="0"/>
                <w:sz w:val="20"/>
                <w:szCs w:val="20"/>
                <w:u w:val="none"/>
                <w:lang w:val="en-US" w:eastAsia="zh-CN" w:bidi="ar"/>
              </w:rPr>
              <w:t>负面影响</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3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6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1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完成非税收入征收计划</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150</w:t>
            </w:r>
            <w:r>
              <w:rPr>
                <w:rFonts w:hint="eastAsia" w:ascii="仿宋_GB2312" w:hAnsi="仿宋_GB2312" w:eastAsia="仿宋_GB2312" w:cs="仿宋_GB2312"/>
                <w:color w:val="000000"/>
                <w:sz w:val="20"/>
                <w:szCs w:val="20"/>
                <w:highlight w:val="none"/>
                <w:lang w:val="en-US" w:eastAsia="zh-CN"/>
              </w:rPr>
              <w:t>万元</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151.51万元</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3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6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1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3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产生一定的间接经济效益</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确保市容秩序，为我市经济发展打下坚实基础</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有效助力 </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3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6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1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依法行政、文明执法，管理和服务相结合，提升执法形象。</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提升执法形象</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执法形象</w:t>
            </w:r>
            <w:r>
              <w:rPr>
                <w:rFonts w:hint="eastAsia" w:ascii="仿宋_GB2312" w:hAnsi="仿宋_GB2312" w:eastAsia="仿宋_GB2312" w:cs="仿宋_GB2312"/>
                <w:color w:val="000000"/>
                <w:sz w:val="20"/>
                <w:szCs w:val="20"/>
                <w:highlight w:val="none"/>
                <w:lang w:val="en-US" w:eastAsia="zh-CN"/>
              </w:rPr>
              <w:t>得到提升</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3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6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1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3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提升城市整体形象</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依法行政、文明执法，</w:t>
            </w:r>
            <w:r>
              <w:rPr>
                <w:rFonts w:hint="eastAsia" w:ascii="仿宋_GB2312" w:hAnsi="仿宋_GB2312" w:eastAsia="仿宋_GB2312" w:cs="仿宋_GB2312"/>
                <w:color w:val="000000"/>
                <w:sz w:val="20"/>
                <w:szCs w:val="20"/>
                <w:lang w:val="en-US" w:eastAsia="zh-CN"/>
              </w:rPr>
              <w:t>提升城市整体形象。</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提升了城市整体形象，改善了市民居住环境。</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3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06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6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1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改善市容环境</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市容秩序整洁、城区环境优美</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城市管理得到不断规范，</w:t>
            </w:r>
            <w:r>
              <w:rPr>
                <w:rFonts w:hint="eastAsia" w:ascii="仿宋_GB2312" w:hAnsi="仿宋_GB2312" w:eastAsia="仿宋_GB2312" w:cs="仿宋_GB2312"/>
                <w:color w:val="000000"/>
                <w:sz w:val="20"/>
                <w:szCs w:val="20"/>
              </w:rPr>
              <w:t>市容秩序</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环境</w:t>
            </w:r>
            <w:r>
              <w:rPr>
                <w:rFonts w:hint="eastAsia" w:ascii="仿宋_GB2312" w:hAnsi="仿宋_GB2312" w:eastAsia="仿宋_GB2312" w:cs="仿宋_GB2312"/>
                <w:color w:val="000000"/>
                <w:sz w:val="20"/>
                <w:szCs w:val="20"/>
                <w:lang w:val="en-US" w:eastAsia="zh-CN"/>
              </w:rPr>
              <w:t>不断提升。</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3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6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1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3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城区扬尘治理</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lang w:eastAsia="zh-CN"/>
              </w:rPr>
              <w:t>基建场地污染源整治，</w:t>
            </w:r>
            <w:r>
              <w:rPr>
                <w:rFonts w:hint="eastAsia" w:ascii="仿宋_GB2312" w:hAnsi="仿宋_GB2312" w:eastAsia="仿宋_GB2312" w:cs="仿宋_GB2312"/>
                <w:sz w:val="20"/>
                <w:szCs w:val="20"/>
                <w:lang w:val="en-US" w:eastAsia="zh-CN"/>
              </w:rPr>
              <w:t>改善城市环境。</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rPr>
              <w:t>严格管控污染源</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lang w:val="en-US" w:eastAsia="zh-CN"/>
              </w:rPr>
              <w:t>减少了城市污染源。</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3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lang w:val="en-US" w:eastAsia="zh-CN"/>
              </w:rPr>
              <w:t>部分</w:t>
            </w:r>
            <w:r>
              <w:rPr>
                <w:rFonts w:hint="eastAsia" w:ascii="仿宋_GB2312" w:hAnsi="仿宋_GB2312" w:eastAsia="仿宋_GB2312" w:cs="仿宋_GB2312"/>
                <w:sz w:val="18"/>
                <w:szCs w:val="18"/>
                <w:lang w:eastAsia="zh-CN"/>
              </w:rPr>
              <w:t>基建场地</w:t>
            </w:r>
            <w:r>
              <w:rPr>
                <w:rFonts w:hint="eastAsia" w:ascii="仿宋_GB2312" w:hAnsi="仿宋_GB2312" w:eastAsia="仿宋_GB2312" w:cs="仿宋_GB2312"/>
                <w:color w:val="000000"/>
                <w:sz w:val="18"/>
                <w:szCs w:val="18"/>
                <w:lang w:val="en-US" w:eastAsia="zh-CN"/>
              </w:rPr>
              <w:t>扬尘治理有待加强监管，加强巡查，切实管控好污染源。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6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0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1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3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常态化管理</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常态化管理长效化</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市容市貌的常态化管理获得了良好的效果</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3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lang w:val="en-US" w:eastAsia="zh-CN"/>
              </w:rPr>
              <w:t>还有待进一步加强政策法规宣传，加大宣传力度，提升市民知法守法的自觉意识。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6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6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1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3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打造整洁、秀美市容环境</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城市规范化管理，提升城市整体形象。</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城市整体形象得到不断提升</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3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18"/>
                <w:szCs w:val="18"/>
                <w:highlight w:val="none"/>
              </w:rPr>
            </w:pPr>
            <w:r>
              <w:rPr>
                <w:rFonts w:hint="eastAsia" w:ascii="仿宋_GB2312" w:hAnsi="仿宋_GB2312" w:eastAsia="仿宋_GB2312" w:cs="仿宋_GB2312"/>
                <w:color w:val="000000"/>
                <w:sz w:val="18"/>
                <w:szCs w:val="18"/>
                <w:highlight w:val="none"/>
                <w:lang w:val="en-US" w:eastAsia="zh-CN"/>
              </w:rPr>
              <w:t>部分路段应加强常态化管理，下一步加大巡查力度，常态化管理。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60"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62"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1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346"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公众对城管执法工作满意度</w:t>
            </w:r>
          </w:p>
        </w:tc>
        <w:tc>
          <w:tcPr>
            <w:tcW w:w="129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95%以上</w:t>
            </w:r>
          </w:p>
        </w:tc>
        <w:tc>
          <w:tcPr>
            <w:tcW w:w="127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97%</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3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043" w:type="dxa"/>
            <w:gridSpan w:val="6"/>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80"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25"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96.72</w:t>
            </w:r>
          </w:p>
        </w:tc>
        <w:tc>
          <w:tcPr>
            <w:tcW w:w="143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sz w:val="22"/>
          <w:szCs w:val="22"/>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CESI仿宋-GB2312" w:hAnsi="CESI仿宋-GB2312" w:eastAsia="CESI仿宋-GB2312" w:cs="CESI仿宋-GB2312"/>
          <w:color w:val="auto"/>
          <w:sz w:val="22"/>
          <w:szCs w:val="22"/>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CESI仿宋-GB2312" w:hAnsi="CESI仿宋-GB2312" w:eastAsia="CESI仿宋-GB2312" w:cs="CESI仿宋-GB2312"/>
          <w:color w:val="auto"/>
          <w:sz w:val="22"/>
          <w:szCs w:val="22"/>
          <w:lang w:eastAsia="zh-CN"/>
        </w:rPr>
      </w:pPr>
      <w:r>
        <w:rPr>
          <w:rFonts w:hint="eastAsia" w:ascii="CESI仿宋-GB2312" w:hAnsi="CESI仿宋-GB2312" w:eastAsia="CESI仿宋-GB2312" w:cs="CESI仿宋-GB2312"/>
          <w:color w:val="auto"/>
          <w:sz w:val="22"/>
          <w:szCs w:val="22"/>
        </w:rPr>
        <w:t>填表人</w:t>
      </w:r>
      <w:r>
        <w:rPr>
          <w:rFonts w:hint="eastAsia" w:ascii="CESI仿宋-GB2312" w:hAnsi="CESI仿宋-GB2312" w:eastAsia="CESI仿宋-GB2312" w:cs="CESI仿宋-GB2312"/>
          <w:color w:val="auto"/>
          <w:sz w:val="22"/>
          <w:szCs w:val="22"/>
          <w:lang w:eastAsia="zh-CN"/>
        </w:rPr>
        <w:t>：</w:t>
      </w:r>
      <w:r>
        <w:rPr>
          <w:rFonts w:hint="eastAsia" w:ascii="CESI仿宋-GB2312" w:hAnsi="CESI仿宋-GB2312" w:eastAsia="CESI仿宋-GB2312" w:cs="CESI仿宋-GB2312"/>
          <w:color w:val="auto"/>
          <w:sz w:val="24"/>
          <w:lang w:val="en-US" w:eastAsia="zh-CN"/>
        </w:rPr>
        <w:t>喻秀娥</w:t>
      </w:r>
      <w:r>
        <w:rPr>
          <w:rFonts w:hint="eastAsia" w:ascii="CESI仿宋-GB2312" w:hAnsi="CESI仿宋-GB2312" w:eastAsia="CESI仿宋-GB2312" w:cs="CESI仿宋-GB2312"/>
          <w:color w:val="auto"/>
          <w:sz w:val="22"/>
          <w:szCs w:val="22"/>
        </w:rPr>
        <w:t xml:space="preserve">  填报日期：</w:t>
      </w:r>
      <w:r>
        <w:rPr>
          <w:rFonts w:hint="eastAsia" w:ascii="CESI仿宋-GB2312" w:hAnsi="CESI仿宋-GB2312" w:eastAsia="CESI仿宋-GB2312" w:cs="CESI仿宋-GB2312"/>
          <w:color w:val="auto"/>
          <w:sz w:val="22"/>
          <w:szCs w:val="22"/>
          <w:lang w:val="en-US" w:eastAsia="zh-CN"/>
        </w:rPr>
        <w:t>2024.6.22</w:t>
      </w:r>
      <w:r>
        <w:rPr>
          <w:rFonts w:hint="eastAsia" w:ascii="CESI仿宋-GB2312" w:hAnsi="CESI仿宋-GB2312" w:eastAsia="CESI仿宋-GB2312" w:cs="CESI仿宋-GB2312"/>
          <w:color w:val="auto"/>
          <w:sz w:val="22"/>
          <w:szCs w:val="22"/>
        </w:rPr>
        <w:t xml:space="preserve"> 联系电话：</w:t>
      </w:r>
      <w:r>
        <w:rPr>
          <w:rFonts w:hint="eastAsia" w:ascii="CESI仿宋-GB2312" w:hAnsi="CESI仿宋-GB2312" w:eastAsia="CESI仿宋-GB2312" w:cs="CESI仿宋-GB2312"/>
          <w:color w:val="auto"/>
          <w:sz w:val="22"/>
          <w:szCs w:val="22"/>
          <w:lang w:val="en-US" w:eastAsia="zh-CN"/>
        </w:rPr>
        <w:t>0730-8227298</w:t>
      </w:r>
      <w:r>
        <w:rPr>
          <w:rFonts w:hint="eastAsia" w:ascii="CESI仿宋-GB2312" w:hAnsi="CESI仿宋-GB2312" w:eastAsia="CESI仿宋-GB2312" w:cs="CESI仿宋-GB2312"/>
          <w:color w:val="auto"/>
          <w:sz w:val="22"/>
          <w:szCs w:val="22"/>
        </w:rPr>
        <w:t xml:space="preserve"> </w:t>
      </w:r>
      <w:r>
        <w:rPr>
          <w:rFonts w:hint="eastAsia" w:ascii="CESI仿宋-GB2312" w:hAnsi="CESI仿宋-GB2312" w:eastAsia="CESI仿宋-GB2312" w:cs="CESI仿宋-GB2312"/>
          <w:color w:val="auto"/>
          <w:sz w:val="22"/>
          <w:szCs w:val="22"/>
          <w:lang w:val="en-US" w:eastAsia="zh-CN"/>
        </w:rPr>
        <w:t xml:space="preserve"> </w:t>
      </w:r>
      <w:r>
        <w:rPr>
          <w:rFonts w:hint="eastAsia" w:ascii="CESI仿宋-GB2312" w:hAnsi="CESI仿宋-GB2312" w:eastAsia="CESI仿宋-GB2312" w:cs="CESI仿宋-GB2312"/>
          <w:color w:val="auto"/>
          <w:sz w:val="22"/>
          <w:szCs w:val="22"/>
        </w:rPr>
        <w:t>单位负责人：</w:t>
      </w:r>
      <w:r>
        <w:rPr>
          <w:rFonts w:hint="eastAsia" w:ascii="CESI仿宋-GB2312" w:hAnsi="CESI仿宋-GB2312" w:eastAsia="CESI仿宋-GB2312" w:cs="CESI仿宋-GB2312"/>
          <w:color w:val="auto"/>
          <w:sz w:val="22"/>
          <w:szCs w:val="22"/>
          <w:lang w:eastAsia="zh-CN"/>
        </w:rPr>
        <w:t>郭沫农</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CESI仿宋-GB2312" w:hAnsi="CESI仿宋-GB2312" w:eastAsia="CESI仿宋-GB2312" w:cs="CESI仿宋-GB2312"/>
          <w:color w:val="auto"/>
          <w:sz w:val="22"/>
          <w:szCs w:val="22"/>
          <w:lang w:eastAsia="zh-CN"/>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黑体" w:cs="Times New Roman"/>
          <w:sz w:val="32"/>
          <w:szCs w:val="32"/>
          <w:highlight w:val="none"/>
          <w:lang w:val="en-US" w:eastAsia="zh-CN"/>
        </w:rPr>
      </w:pPr>
      <w:r>
        <w:rPr>
          <w:rFonts w:hint="eastAsia" w:ascii="CESI仿宋-GB2312" w:hAnsi="CESI仿宋-GB2312" w:eastAsia="CESI仿宋-GB2312" w:cs="CESI仿宋-GB2312"/>
          <w:color w:val="auto"/>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7"/>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078"/>
        <w:gridCol w:w="1031"/>
        <w:gridCol w:w="1197"/>
        <w:gridCol w:w="1123"/>
        <w:gridCol w:w="1093"/>
        <w:gridCol w:w="943"/>
        <w:gridCol w:w="827"/>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4" w:type="dxa"/>
            <w:gridSpan w:val="8"/>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rPr>
              <w:t>城管事务管理经费</w:t>
            </w: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7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429" w:type="dxa"/>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岳阳市城市管理和综合执法局</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实施单位</w:t>
            </w:r>
          </w:p>
        </w:tc>
        <w:tc>
          <w:tcPr>
            <w:tcW w:w="3252" w:type="dxa"/>
            <w:gridSpan w:val="3"/>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岳阳市城市管理综合行政执法支队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09"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9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2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9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94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27"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82"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jc w:val="center"/>
        </w:trPr>
        <w:tc>
          <w:tcPr>
            <w:tcW w:w="10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2109"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19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88.00</w:t>
            </w:r>
          </w:p>
        </w:tc>
        <w:tc>
          <w:tcPr>
            <w:tcW w:w="112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156.82</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156.82</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2109"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19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88.00</w:t>
            </w:r>
          </w:p>
        </w:tc>
        <w:tc>
          <w:tcPr>
            <w:tcW w:w="112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156.82</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156.82</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2109"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19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2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2109"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19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2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107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429" w:type="dxa"/>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45" w:type="dxa"/>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10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4429" w:type="dxa"/>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联合相关部门，在燃气执法、扬尘防治、住建领域执法、广告整治等方面加大管理力度，为市民创造秀美、整洁、安宁的生活环境。　　</w:t>
            </w:r>
          </w:p>
        </w:tc>
        <w:tc>
          <w:tcPr>
            <w:tcW w:w="4345" w:type="dxa"/>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加强了城市规范化管理宣传力度，同时</w:t>
            </w:r>
            <w:r>
              <w:rPr>
                <w:rFonts w:hint="eastAsia" w:ascii="仿宋_GB2312" w:hAnsi="仿宋_GB2312" w:eastAsia="仿宋_GB2312" w:cs="仿宋_GB2312"/>
                <w:color w:val="000000"/>
                <w:sz w:val="20"/>
                <w:szCs w:val="20"/>
                <w:highlight w:val="none"/>
              </w:rPr>
              <w:t>联合相关部门，在燃气执法、扬尘防治、住建领域执法、广告整治等方面</w:t>
            </w:r>
            <w:r>
              <w:rPr>
                <w:rFonts w:hint="eastAsia" w:ascii="仿宋_GB2312" w:hAnsi="仿宋_GB2312" w:eastAsia="仿宋_GB2312" w:cs="仿宋_GB2312"/>
                <w:color w:val="000000"/>
                <w:sz w:val="20"/>
                <w:szCs w:val="20"/>
                <w:highlight w:val="none"/>
                <w:lang w:val="en-US" w:eastAsia="zh-CN"/>
              </w:rPr>
              <w:t>加大了</w:t>
            </w:r>
            <w:r>
              <w:rPr>
                <w:rFonts w:hint="eastAsia" w:ascii="仿宋_GB2312" w:hAnsi="仿宋_GB2312" w:eastAsia="仿宋_GB2312" w:cs="仿宋_GB2312"/>
                <w:color w:val="000000"/>
                <w:sz w:val="20"/>
                <w:szCs w:val="20"/>
                <w:highlight w:val="none"/>
              </w:rPr>
              <w:t>管理力度，为市民创造</w:t>
            </w:r>
            <w:r>
              <w:rPr>
                <w:rFonts w:hint="eastAsia" w:ascii="仿宋_GB2312" w:hAnsi="仿宋_GB2312" w:eastAsia="仿宋_GB2312" w:cs="仿宋_GB2312"/>
                <w:color w:val="000000"/>
                <w:sz w:val="20"/>
                <w:szCs w:val="20"/>
                <w:highlight w:val="none"/>
                <w:lang w:val="en-US" w:eastAsia="zh-CN"/>
              </w:rPr>
              <w:t>了</w:t>
            </w:r>
            <w:r>
              <w:rPr>
                <w:rFonts w:hint="eastAsia" w:ascii="仿宋_GB2312" w:hAnsi="仿宋_GB2312" w:eastAsia="仿宋_GB2312" w:cs="仿宋_GB2312"/>
                <w:color w:val="000000"/>
                <w:sz w:val="20"/>
                <w:szCs w:val="20"/>
                <w:highlight w:val="none"/>
              </w:rPr>
              <w:t>秀美、整洁、安宁的生活环境。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7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7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19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2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1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日常巡查</w:t>
            </w:r>
          </w:p>
        </w:tc>
        <w:tc>
          <w:tcPr>
            <w:tcW w:w="11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color w:val="000000"/>
                <w:sz w:val="20"/>
                <w:szCs w:val="20"/>
                <w:highlight w:val="none"/>
                <w:lang w:val="en-US"/>
              </w:rPr>
            </w:pPr>
            <w:r>
              <w:rPr>
                <w:rFonts w:hint="eastAsia" w:ascii="仿宋_GB2312" w:hAnsi="仿宋_GB2312" w:eastAsia="仿宋_GB2312" w:cs="仿宋_GB2312"/>
                <w:i w:val="0"/>
                <w:iCs w:val="0"/>
                <w:color w:val="000000"/>
                <w:kern w:val="0"/>
                <w:sz w:val="20"/>
                <w:szCs w:val="20"/>
                <w:u w:val="none"/>
                <w:lang w:val="en-US" w:eastAsia="zh-CN" w:bidi="ar"/>
              </w:rPr>
              <w:t>不少于600次</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达700余次</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3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1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专项整治行动</w:t>
            </w:r>
          </w:p>
        </w:tc>
        <w:tc>
          <w:tcPr>
            <w:tcW w:w="11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color w:val="000000"/>
                <w:sz w:val="20"/>
                <w:szCs w:val="20"/>
                <w:highlight w:val="none"/>
                <w:lang w:val="en-US"/>
              </w:rPr>
            </w:pPr>
            <w:r>
              <w:rPr>
                <w:rFonts w:hint="eastAsia" w:ascii="仿宋_GB2312" w:hAnsi="仿宋_GB2312" w:eastAsia="仿宋_GB2312" w:cs="仿宋_GB2312"/>
                <w:i w:val="0"/>
                <w:iCs w:val="0"/>
                <w:color w:val="000000"/>
                <w:kern w:val="0"/>
                <w:sz w:val="20"/>
                <w:szCs w:val="20"/>
                <w:u w:val="none"/>
                <w:lang w:val="en-US" w:eastAsia="zh-CN" w:bidi="ar"/>
              </w:rPr>
              <w:t>不少于50次</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53次</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3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19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专业性考核</w:t>
            </w:r>
          </w:p>
        </w:tc>
        <w:tc>
          <w:tcPr>
            <w:tcW w:w="112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300次以上</w:t>
            </w:r>
            <w:r>
              <w:rPr>
                <w:rFonts w:hint="eastAsia" w:ascii="仿宋_GB2312" w:hAnsi="仿宋_GB2312" w:eastAsia="仿宋_GB2312" w:cs="仿宋_GB2312"/>
                <w:color w:val="000000"/>
                <w:sz w:val="20"/>
                <w:szCs w:val="20"/>
                <w:highlight w:val="none"/>
              </w:rPr>
              <w:t>　</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536批次</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6个专班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3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19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依法依规实施</w:t>
            </w:r>
          </w:p>
        </w:tc>
        <w:tc>
          <w:tcPr>
            <w:tcW w:w="112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依法依规按程序实施</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均依法依规按程序实施</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3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19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按上级文件执行</w:t>
            </w:r>
          </w:p>
        </w:tc>
        <w:tc>
          <w:tcPr>
            <w:tcW w:w="112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100％按上级文件执行</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3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19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文明执法</w:t>
            </w:r>
          </w:p>
        </w:tc>
        <w:tc>
          <w:tcPr>
            <w:tcW w:w="112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文明执法，无违规投诉案件。</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全年无违规投诉</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3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19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按时完成</w:t>
            </w:r>
          </w:p>
        </w:tc>
        <w:tc>
          <w:tcPr>
            <w:tcW w:w="112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按年度工作计划实施</w:t>
            </w:r>
            <w:r>
              <w:rPr>
                <w:rFonts w:hint="eastAsia" w:ascii="仿宋_GB2312" w:hAnsi="仿宋_GB2312" w:eastAsia="仿宋_GB2312" w:cs="仿宋_GB2312"/>
                <w:color w:val="000000"/>
                <w:sz w:val="20"/>
                <w:szCs w:val="20"/>
                <w:highlight w:val="none"/>
              </w:rPr>
              <w:t>　</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均如期完成</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3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19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投诉案件处置时效</w:t>
            </w:r>
          </w:p>
        </w:tc>
        <w:tc>
          <w:tcPr>
            <w:tcW w:w="112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市民投诉处置及时</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lang w:val="en-US" w:eastAsia="zh-CN"/>
              </w:rPr>
              <w:t>均在规定时限内办结</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3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19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控制在预算成本内</w:t>
            </w:r>
          </w:p>
        </w:tc>
        <w:tc>
          <w:tcPr>
            <w:tcW w:w="112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年度预算金额内</w:t>
            </w:r>
            <w:r>
              <w:rPr>
                <w:rFonts w:hint="eastAsia" w:ascii="仿宋_GB2312" w:hAnsi="仿宋_GB2312" w:eastAsia="仿宋_GB2312" w:cs="仿宋_GB2312"/>
                <w:color w:val="000000"/>
                <w:sz w:val="20"/>
                <w:szCs w:val="20"/>
                <w:highlight w:val="none"/>
              </w:rPr>
              <w:t>　</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未超预算</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5" w:hRule="atLeast"/>
          <w:jc w:val="center"/>
        </w:trPr>
        <w:tc>
          <w:tcPr>
            <w:tcW w:w="107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3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1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是否对社会发展造成负面影响</w:t>
            </w:r>
          </w:p>
        </w:tc>
        <w:tc>
          <w:tcPr>
            <w:tcW w:w="112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r>
              <w:rPr>
                <w:rFonts w:hint="eastAsia" w:ascii="仿宋_GB2312" w:hAnsi="仿宋_GB2312" w:eastAsia="仿宋_GB2312" w:cs="仿宋_GB2312"/>
                <w:i w:val="0"/>
                <w:iCs w:val="0"/>
                <w:color w:val="000000"/>
                <w:kern w:val="0"/>
                <w:sz w:val="20"/>
                <w:szCs w:val="20"/>
                <w:u w:val="none"/>
                <w:lang w:val="en-US" w:eastAsia="zh-CN" w:bidi="ar"/>
              </w:rPr>
              <w:t>负面影响</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r>
              <w:rPr>
                <w:rFonts w:hint="eastAsia" w:ascii="仿宋_GB2312" w:hAnsi="仿宋_GB2312" w:eastAsia="仿宋_GB2312" w:cs="仿宋_GB2312"/>
                <w:i w:val="0"/>
                <w:iCs w:val="0"/>
                <w:color w:val="000000"/>
                <w:kern w:val="0"/>
                <w:sz w:val="20"/>
                <w:szCs w:val="20"/>
                <w:u w:val="none"/>
                <w:lang w:val="en-US" w:eastAsia="zh-CN" w:bidi="ar"/>
              </w:rPr>
              <w:t>负面影响</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3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1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是否对生态环境造成负面影响</w:t>
            </w:r>
          </w:p>
        </w:tc>
        <w:tc>
          <w:tcPr>
            <w:tcW w:w="112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r>
              <w:rPr>
                <w:rFonts w:hint="eastAsia" w:ascii="仿宋_GB2312" w:hAnsi="仿宋_GB2312" w:eastAsia="仿宋_GB2312" w:cs="仿宋_GB2312"/>
                <w:i w:val="0"/>
                <w:iCs w:val="0"/>
                <w:color w:val="000000"/>
                <w:kern w:val="0"/>
                <w:sz w:val="20"/>
                <w:szCs w:val="20"/>
                <w:u w:val="none"/>
                <w:lang w:val="en-US" w:eastAsia="zh-CN" w:bidi="ar"/>
              </w:rPr>
              <w:t>负面影响</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r>
              <w:rPr>
                <w:rFonts w:hint="eastAsia" w:ascii="仿宋_GB2312" w:hAnsi="仿宋_GB2312" w:eastAsia="仿宋_GB2312" w:cs="仿宋_GB2312"/>
                <w:i w:val="0"/>
                <w:iCs w:val="0"/>
                <w:color w:val="000000"/>
                <w:kern w:val="0"/>
                <w:sz w:val="20"/>
                <w:szCs w:val="20"/>
                <w:u w:val="none"/>
                <w:lang w:val="en-US" w:eastAsia="zh-CN" w:bidi="ar"/>
              </w:rPr>
              <w:t>负面影响</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w:t>
            </w:r>
          </w:p>
        </w:tc>
        <w:tc>
          <w:tcPr>
            <w:tcW w:w="14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3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9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是否产生一定的间接经济效益</w:t>
            </w:r>
          </w:p>
        </w:tc>
        <w:tc>
          <w:tcPr>
            <w:tcW w:w="1123" w:type="dxa"/>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lang w:val="en-US" w:eastAsia="zh-CN"/>
              </w:rPr>
              <w:t>在一定程度上降低城市治理费用</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b w:val="0"/>
                <w:bCs/>
                <w:color w:val="auto"/>
                <w:sz w:val="20"/>
                <w:szCs w:val="20"/>
                <w:lang w:val="en-US" w:eastAsia="zh-CN"/>
              </w:rPr>
              <w:t>加强了</w:t>
            </w:r>
            <w:r>
              <w:rPr>
                <w:rFonts w:hint="eastAsia" w:ascii="仿宋_GB2312" w:hAnsi="仿宋_GB2312" w:eastAsia="仿宋_GB2312" w:cs="仿宋_GB2312"/>
                <w:color w:val="auto"/>
                <w:sz w:val="20"/>
                <w:szCs w:val="20"/>
                <w:lang w:val="en-US" w:eastAsia="zh-CN"/>
              </w:rPr>
              <w:t>扬尘治理，间接减少了环境治理费用</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3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19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是否产生一定的间接经济效益</w:t>
            </w:r>
          </w:p>
        </w:tc>
        <w:tc>
          <w:tcPr>
            <w:tcW w:w="112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lang w:val="en-US" w:eastAsia="zh-CN"/>
              </w:rPr>
              <w:t>改善城市环境，推动旅游业发展。</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b w:val="0"/>
                <w:bCs/>
                <w:color w:val="auto"/>
                <w:sz w:val="20"/>
                <w:szCs w:val="20"/>
                <w:lang w:val="en-US" w:eastAsia="zh-CN"/>
              </w:rPr>
              <w:t>有效改善了城市环境，推动了旅游业发展。</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7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3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9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依法行政、文明执法，管理和服务相结合</w:t>
            </w:r>
            <w:r>
              <w:rPr>
                <w:rFonts w:hint="eastAsia" w:ascii="仿宋_GB2312" w:hAnsi="仿宋_GB2312" w:eastAsia="仿宋_GB2312" w:cs="仿宋_GB2312"/>
                <w:color w:val="000000"/>
                <w:sz w:val="20"/>
                <w:szCs w:val="20"/>
                <w:lang w:eastAsia="zh-CN"/>
              </w:rPr>
              <w:t>。</w:t>
            </w:r>
          </w:p>
        </w:tc>
        <w:tc>
          <w:tcPr>
            <w:tcW w:w="112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提升执法形象</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执法形象</w:t>
            </w:r>
            <w:r>
              <w:rPr>
                <w:rFonts w:hint="eastAsia" w:ascii="仿宋_GB2312" w:hAnsi="仿宋_GB2312" w:eastAsia="仿宋_GB2312" w:cs="仿宋_GB2312"/>
                <w:color w:val="000000"/>
                <w:sz w:val="20"/>
                <w:szCs w:val="20"/>
                <w:lang w:val="en-US" w:eastAsia="zh-CN"/>
              </w:rPr>
              <w:t>整体提升</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3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19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提升城市整体形象</w:t>
            </w:r>
          </w:p>
        </w:tc>
        <w:tc>
          <w:tcPr>
            <w:tcW w:w="112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lang w:val="en-US" w:eastAsia="zh-CN"/>
              </w:rPr>
              <w:t>加强市容市貌管理</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城市整体形象不断提升，改善了市民居住环境。</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3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9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城区扬尘治理</w:t>
            </w:r>
          </w:p>
        </w:tc>
        <w:tc>
          <w:tcPr>
            <w:tcW w:w="112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lang w:eastAsia="zh-CN"/>
              </w:rPr>
              <w:t>基建场地污染源整治，</w:t>
            </w:r>
            <w:r>
              <w:rPr>
                <w:rFonts w:hint="eastAsia" w:ascii="仿宋_GB2312" w:hAnsi="仿宋_GB2312" w:eastAsia="仿宋_GB2312" w:cs="仿宋_GB2312"/>
                <w:sz w:val="20"/>
                <w:szCs w:val="20"/>
                <w:lang w:val="en-US" w:eastAsia="zh-CN"/>
              </w:rPr>
              <w:t>有效改善城市环境。</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rPr>
              <w:t>严格管控污染源</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lang w:val="en-US" w:eastAsia="zh-CN"/>
              </w:rPr>
              <w:t>减少了城市污染源。</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lang w:val="en-US" w:eastAsia="zh-CN"/>
              </w:rPr>
              <w:t>部分</w:t>
            </w:r>
            <w:r>
              <w:rPr>
                <w:rFonts w:hint="eastAsia" w:ascii="仿宋_GB2312" w:hAnsi="仿宋_GB2312" w:eastAsia="仿宋_GB2312" w:cs="仿宋_GB2312"/>
                <w:sz w:val="20"/>
                <w:szCs w:val="20"/>
                <w:lang w:eastAsia="zh-CN"/>
              </w:rPr>
              <w:t>基建场地</w:t>
            </w:r>
            <w:r>
              <w:rPr>
                <w:rFonts w:hint="eastAsia" w:ascii="仿宋_GB2312" w:hAnsi="仿宋_GB2312" w:eastAsia="仿宋_GB2312" w:cs="仿宋_GB2312"/>
                <w:color w:val="000000"/>
                <w:sz w:val="20"/>
                <w:szCs w:val="20"/>
                <w:lang w:val="en-US" w:eastAsia="zh-CN"/>
              </w:rPr>
              <w:t>扬尘治理有待加强监管，下一步加强巡查，切实管控好污染源。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78"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31"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19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lang w:val="en-US" w:eastAsia="zh-CN"/>
              </w:rPr>
              <w:t>改善市容市貌</w:t>
            </w:r>
          </w:p>
        </w:tc>
        <w:tc>
          <w:tcPr>
            <w:tcW w:w="112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市容秩序整洁、城区环境优美</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市容秩序</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环境</w:t>
            </w:r>
            <w:r>
              <w:rPr>
                <w:rFonts w:hint="eastAsia" w:ascii="仿宋_GB2312" w:hAnsi="仿宋_GB2312" w:eastAsia="仿宋_GB2312" w:cs="仿宋_GB2312"/>
                <w:color w:val="000000"/>
                <w:sz w:val="20"/>
                <w:szCs w:val="20"/>
                <w:lang w:val="en-US" w:eastAsia="zh-CN"/>
              </w:rPr>
              <w:t>不断提升</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07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3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19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打造整洁、秀美市容环境</w:t>
            </w:r>
          </w:p>
        </w:tc>
        <w:tc>
          <w:tcPr>
            <w:tcW w:w="112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城市规范化管理，提升城市整体形象。</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城市整体形象得到不断提升</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7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19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w:t>
            </w:r>
          </w:p>
        </w:tc>
        <w:tc>
          <w:tcPr>
            <w:tcW w:w="112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≥95</w:t>
            </w:r>
            <w:r>
              <w:rPr>
                <w:rFonts w:hint="eastAsia" w:ascii="仿宋_GB2312" w:hAnsi="仿宋_GB2312" w:eastAsia="仿宋_GB2312" w:cs="仿宋_GB2312"/>
                <w:color w:val="000000"/>
                <w:sz w:val="20"/>
                <w:szCs w:val="20"/>
                <w:highlight w:val="none"/>
                <w:lang w:val="en-US" w:eastAsia="zh-CN"/>
              </w:rPr>
              <w:t>%</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599" w:type="dxa"/>
            <w:gridSpan w:val="6"/>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94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w:t>
            </w:r>
          </w:p>
        </w:tc>
        <w:tc>
          <w:tcPr>
            <w:tcW w:w="148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widowControl/>
        <w:spacing w:line="600" w:lineRule="exact"/>
        <w:jc w:val="left"/>
        <w:rPr>
          <w:rFonts w:hint="eastAsia" w:ascii="CESI仿宋-GB2312" w:hAnsi="CESI仿宋-GB2312" w:eastAsia="CESI仿宋-GB2312" w:cs="CESI仿宋-GB2312"/>
          <w:sz w:val="22"/>
          <w:szCs w:val="22"/>
        </w:rPr>
      </w:pPr>
    </w:p>
    <w:p>
      <w:pPr>
        <w:widowControl/>
        <w:spacing w:line="600" w:lineRule="exact"/>
        <w:jc w:val="left"/>
        <w:rPr>
          <w:rFonts w:hint="eastAsia" w:ascii="CESI仿宋-GB2312" w:hAnsi="CESI仿宋-GB2312" w:eastAsia="CESI仿宋-GB2312" w:cs="CESI仿宋-GB2312"/>
          <w:color w:val="auto"/>
          <w:sz w:val="22"/>
          <w:szCs w:val="22"/>
          <w:lang w:eastAsia="zh-CN"/>
        </w:rPr>
      </w:pPr>
      <w:r>
        <w:rPr>
          <w:rFonts w:hint="eastAsia" w:ascii="CESI仿宋-GB2312" w:hAnsi="CESI仿宋-GB2312" w:eastAsia="CESI仿宋-GB2312" w:cs="CESI仿宋-GB2312"/>
          <w:sz w:val="22"/>
          <w:szCs w:val="22"/>
        </w:rPr>
        <w:t>填表人：</w:t>
      </w:r>
      <w:r>
        <w:rPr>
          <w:rFonts w:hint="eastAsia" w:ascii="CESI仿宋-GB2312" w:hAnsi="CESI仿宋-GB2312" w:eastAsia="CESI仿宋-GB2312" w:cs="CESI仿宋-GB2312"/>
          <w:color w:val="auto"/>
          <w:sz w:val="22"/>
          <w:szCs w:val="22"/>
          <w:lang w:val="en-US" w:eastAsia="zh-CN"/>
        </w:rPr>
        <w:t>喻秀娥</w:t>
      </w:r>
      <w:r>
        <w:rPr>
          <w:rFonts w:hint="eastAsia" w:ascii="CESI仿宋-GB2312" w:hAnsi="CESI仿宋-GB2312" w:eastAsia="CESI仿宋-GB2312" w:cs="CESI仿宋-GB2312"/>
          <w:sz w:val="22"/>
          <w:szCs w:val="22"/>
        </w:rPr>
        <w:t xml:space="preserve"> </w:t>
      </w:r>
      <w:r>
        <w:rPr>
          <w:rFonts w:hint="eastAsia" w:ascii="CESI仿宋-GB2312" w:hAnsi="CESI仿宋-GB2312" w:eastAsia="CESI仿宋-GB2312" w:cs="CESI仿宋-GB2312"/>
          <w:sz w:val="22"/>
          <w:szCs w:val="22"/>
          <w:lang w:val="en-US" w:eastAsia="zh-CN"/>
        </w:rPr>
        <w:t xml:space="preserve"> </w:t>
      </w:r>
      <w:r>
        <w:rPr>
          <w:rFonts w:hint="eastAsia" w:ascii="CESI仿宋-GB2312" w:hAnsi="CESI仿宋-GB2312" w:eastAsia="CESI仿宋-GB2312" w:cs="CESI仿宋-GB2312"/>
          <w:sz w:val="22"/>
          <w:szCs w:val="22"/>
        </w:rPr>
        <w:t>填报日期：</w:t>
      </w:r>
      <w:r>
        <w:rPr>
          <w:rFonts w:hint="eastAsia" w:ascii="CESI仿宋-GB2312" w:hAnsi="CESI仿宋-GB2312" w:eastAsia="CESI仿宋-GB2312" w:cs="CESI仿宋-GB2312"/>
          <w:sz w:val="22"/>
          <w:szCs w:val="22"/>
          <w:lang w:val="en-US" w:eastAsia="zh-CN"/>
        </w:rPr>
        <w:t>2024.6.22</w:t>
      </w:r>
      <w:r>
        <w:rPr>
          <w:rFonts w:hint="eastAsia" w:ascii="CESI仿宋-GB2312" w:hAnsi="CESI仿宋-GB2312" w:eastAsia="CESI仿宋-GB2312" w:cs="CESI仿宋-GB2312"/>
          <w:sz w:val="22"/>
          <w:szCs w:val="22"/>
        </w:rPr>
        <w:t xml:space="preserve"> </w:t>
      </w:r>
      <w:r>
        <w:rPr>
          <w:rFonts w:hint="eastAsia" w:ascii="CESI仿宋-GB2312" w:hAnsi="CESI仿宋-GB2312" w:eastAsia="CESI仿宋-GB2312" w:cs="CESI仿宋-GB2312"/>
          <w:sz w:val="22"/>
          <w:szCs w:val="22"/>
          <w:lang w:val="en-US" w:eastAsia="zh-CN"/>
        </w:rPr>
        <w:t xml:space="preserve"> </w:t>
      </w:r>
      <w:r>
        <w:rPr>
          <w:rFonts w:hint="eastAsia" w:ascii="CESI仿宋-GB2312" w:hAnsi="CESI仿宋-GB2312" w:eastAsia="CESI仿宋-GB2312" w:cs="CESI仿宋-GB2312"/>
          <w:sz w:val="22"/>
          <w:szCs w:val="22"/>
        </w:rPr>
        <w:t>联系电话：</w:t>
      </w:r>
      <w:r>
        <w:rPr>
          <w:rFonts w:hint="eastAsia" w:ascii="CESI仿宋-GB2312" w:hAnsi="CESI仿宋-GB2312" w:eastAsia="CESI仿宋-GB2312" w:cs="CESI仿宋-GB2312"/>
          <w:sz w:val="22"/>
          <w:szCs w:val="22"/>
          <w:lang w:val="en-US" w:eastAsia="zh-CN"/>
        </w:rPr>
        <w:t>0730-8227298</w:t>
      </w:r>
      <w:r>
        <w:rPr>
          <w:rFonts w:hint="eastAsia" w:ascii="CESI仿宋-GB2312" w:hAnsi="CESI仿宋-GB2312" w:eastAsia="CESI仿宋-GB2312" w:cs="CESI仿宋-GB2312"/>
          <w:sz w:val="22"/>
          <w:szCs w:val="22"/>
        </w:rPr>
        <w:t xml:space="preserve"> </w:t>
      </w:r>
      <w:r>
        <w:rPr>
          <w:rFonts w:hint="eastAsia" w:ascii="CESI仿宋-GB2312" w:hAnsi="CESI仿宋-GB2312" w:eastAsia="CESI仿宋-GB2312" w:cs="CESI仿宋-GB2312"/>
          <w:sz w:val="22"/>
          <w:szCs w:val="22"/>
          <w:lang w:val="en-US" w:eastAsia="zh-CN"/>
        </w:rPr>
        <w:t xml:space="preserve"> </w:t>
      </w:r>
      <w:r>
        <w:rPr>
          <w:rFonts w:hint="eastAsia" w:ascii="CESI仿宋-GB2312" w:hAnsi="CESI仿宋-GB2312" w:eastAsia="CESI仿宋-GB2312" w:cs="CESI仿宋-GB2312"/>
          <w:sz w:val="22"/>
          <w:szCs w:val="22"/>
        </w:rPr>
        <w:t>单位负责人：</w:t>
      </w:r>
      <w:r>
        <w:rPr>
          <w:rFonts w:hint="eastAsia" w:ascii="CESI仿宋-GB2312" w:hAnsi="CESI仿宋-GB2312" w:eastAsia="CESI仿宋-GB2312" w:cs="CESI仿宋-GB2312"/>
          <w:color w:val="auto"/>
          <w:sz w:val="22"/>
          <w:szCs w:val="22"/>
          <w:lang w:eastAsia="zh-CN"/>
        </w:rPr>
        <w:t>郭沫农</w:t>
      </w:r>
    </w:p>
    <w:p>
      <w:pPr>
        <w:widowControl/>
        <w:spacing w:line="600" w:lineRule="exact"/>
        <w:jc w:val="left"/>
        <w:rPr>
          <w:rFonts w:hint="eastAsia" w:ascii="黑体" w:hAnsi="黑体" w:eastAsia="黑体" w:cs="黑体"/>
          <w:sz w:val="22"/>
          <w:szCs w:val="22"/>
          <w:highlight w:val="none"/>
        </w:rPr>
      </w:pPr>
    </w:p>
    <w:p>
      <w:pPr>
        <w:widowControl/>
        <w:spacing w:line="600" w:lineRule="exact"/>
        <w:jc w:val="left"/>
        <w:rPr>
          <w:rFonts w:hint="default" w:ascii="Times New Roman" w:hAnsi="Times New Roman" w:eastAsia="黑体" w:cs="Times New Roman"/>
          <w:sz w:val="32"/>
          <w:szCs w:val="32"/>
          <w:highlight w:val="none"/>
          <w:lang w:val="en-US" w:eastAsia="zh-CN"/>
        </w:rPr>
      </w:pPr>
      <w:bookmarkStart w:id="0" w:name="_GoBack"/>
      <w:bookmarkEnd w:id="0"/>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3-2</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pPr>
        <w:pStyle w:val="2"/>
        <w:rPr>
          <w:rFonts w:hint="eastAsia"/>
          <w:sz w:val="20"/>
          <w:szCs w:val="20"/>
        </w:rPr>
      </w:pPr>
    </w:p>
    <w:tbl>
      <w:tblPr>
        <w:tblStyle w:val="7"/>
        <w:tblW w:w="9851" w:type="dxa"/>
        <w:jc w:val="center"/>
        <w:tblLayout w:type="autofit"/>
        <w:tblCellMar>
          <w:top w:w="0" w:type="dxa"/>
          <w:left w:w="108" w:type="dxa"/>
          <w:bottom w:w="0" w:type="dxa"/>
          <w:right w:w="108" w:type="dxa"/>
        </w:tblCellMar>
      </w:tblPr>
      <w:tblGrid>
        <w:gridCol w:w="1080"/>
        <w:gridCol w:w="1080"/>
        <w:gridCol w:w="1080"/>
        <w:gridCol w:w="1184"/>
        <w:gridCol w:w="1050"/>
        <w:gridCol w:w="1110"/>
        <w:gridCol w:w="976"/>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default" w:ascii="仿宋_GB2312" w:hAnsi="仿宋_GB2312" w:eastAsia="仿宋_GB2312" w:cs="仿宋_GB2312"/>
                <w:sz w:val="20"/>
                <w:szCs w:val="20"/>
                <w:lang w:val="en-US" w:eastAsia="zh-CN"/>
              </w:rPr>
              <w:t>城管协管员人员经费</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6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39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岳阳市城市管理和综合执法局</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实施单位</w:t>
            </w:r>
          </w:p>
        </w:tc>
        <w:tc>
          <w:tcPr>
            <w:tcW w:w="3267"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岳阳市城市管理综合行政执法支队</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43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180.00</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180.00</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180.00</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w:t>
            </w:r>
          </w:p>
        </w:tc>
      </w:tr>
      <w:tr>
        <w:tblPrEx>
          <w:tblCellMar>
            <w:top w:w="0" w:type="dxa"/>
            <w:left w:w="108" w:type="dxa"/>
            <w:bottom w:w="0" w:type="dxa"/>
            <w:right w:w="108" w:type="dxa"/>
          </w:tblCellMar>
        </w:tblPrEx>
        <w:trPr>
          <w:trHeight w:val="43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180.00</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180.00</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180.00</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5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8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95"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39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7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135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439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协管员在支队执法人员的带领下，能完成各类工作任务，将市容秩序治理得井然有序，为市民营造秀美整洁的生活环境</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　　</w:t>
            </w:r>
          </w:p>
        </w:tc>
        <w:tc>
          <w:tcPr>
            <w:tcW w:w="437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lang w:eastAsia="zh-CN"/>
              </w:rPr>
              <w:t>通过专项培训及跟班作业训练，</w:t>
            </w:r>
            <w:r>
              <w:rPr>
                <w:rFonts w:hint="eastAsia" w:ascii="仿宋_GB2312" w:hAnsi="仿宋_GB2312" w:eastAsia="仿宋_GB2312" w:cs="仿宋_GB2312"/>
                <w:color w:val="000000"/>
                <w:sz w:val="20"/>
                <w:szCs w:val="20"/>
              </w:rPr>
              <w:t>协管员在支队执法人员的带领下，能独立处理好各种执法事件，将各大队市容秩序治理得井然有序，给市民</w:t>
            </w:r>
            <w:r>
              <w:rPr>
                <w:rFonts w:hint="eastAsia" w:ascii="仿宋_GB2312" w:hAnsi="仿宋_GB2312" w:eastAsia="仿宋_GB2312" w:cs="仿宋_GB2312"/>
                <w:color w:val="000000"/>
                <w:sz w:val="20"/>
                <w:szCs w:val="20"/>
                <w:lang w:val="en-US" w:eastAsia="zh-CN"/>
              </w:rPr>
              <w:t>营造了</w:t>
            </w:r>
            <w:r>
              <w:rPr>
                <w:rFonts w:hint="eastAsia" w:ascii="仿宋_GB2312" w:hAnsi="仿宋_GB2312" w:eastAsia="仿宋_GB2312" w:cs="仿宋_GB2312"/>
                <w:color w:val="000000"/>
                <w:sz w:val="20"/>
                <w:szCs w:val="20"/>
              </w:rPr>
              <w:t>秀美整洁的环境。　</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有固定协管队伍</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40人</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40人</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不超编超岗发放</w:t>
            </w:r>
          </w:p>
        </w:tc>
      </w:tr>
      <w:tr>
        <w:tblPrEx>
          <w:tblCellMar>
            <w:top w:w="0" w:type="dxa"/>
            <w:left w:w="108" w:type="dxa"/>
            <w:bottom w:w="0" w:type="dxa"/>
            <w:right w:w="108" w:type="dxa"/>
          </w:tblCellMar>
        </w:tblPrEx>
        <w:trPr>
          <w:trHeight w:val="55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业务培训</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≥2次/年</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3次</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协管员管理</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定期考核、优胜劣汰</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业务考核合格</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文明执法</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无负面舆情</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无负面舆情</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按时发放工资</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缴纳</w:t>
            </w:r>
            <w:r>
              <w:rPr>
                <w:rFonts w:hint="eastAsia" w:ascii="仿宋_GB2312" w:hAnsi="仿宋_GB2312" w:eastAsia="仿宋_GB2312" w:cs="仿宋_GB2312"/>
                <w:color w:val="000000"/>
                <w:sz w:val="20"/>
                <w:szCs w:val="20"/>
                <w:highlight w:val="none"/>
                <w:lang w:val="en-US" w:eastAsia="zh-CN"/>
              </w:rPr>
              <w:t>各类保险</w:t>
            </w:r>
            <w:r>
              <w:rPr>
                <w:rFonts w:hint="eastAsia" w:ascii="仿宋_GB2312" w:hAnsi="仿宋_GB2312" w:eastAsia="仿宋_GB2312" w:cs="仿宋_GB2312"/>
                <w:color w:val="000000"/>
                <w:sz w:val="20"/>
                <w:szCs w:val="20"/>
                <w:highlight w:val="none"/>
              </w:rPr>
              <w:t>等</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每月</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均按时完成</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辅助执法工作完成</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能协助执法人员及时完成执法工作</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协助执法人员如期完成了各项执法工作</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控制在预算成本内</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180万元内</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180万元</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是否对社会发展造成负面影响</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r>
              <w:rPr>
                <w:rFonts w:hint="eastAsia" w:ascii="仿宋_GB2312" w:hAnsi="仿宋_GB2312" w:eastAsia="仿宋_GB2312" w:cs="仿宋_GB2312"/>
                <w:i w:val="0"/>
                <w:iCs w:val="0"/>
                <w:color w:val="000000"/>
                <w:kern w:val="0"/>
                <w:sz w:val="20"/>
                <w:szCs w:val="20"/>
                <w:u w:val="none"/>
                <w:lang w:val="en-US" w:eastAsia="zh-CN" w:bidi="ar"/>
              </w:rPr>
              <w:t>负面影响</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r>
              <w:rPr>
                <w:rFonts w:hint="eastAsia" w:ascii="仿宋_GB2312" w:hAnsi="仿宋_GB2312" w:eastAsia="仿宋_GB2312" w:cs="仿宋_GB2312"/>
                <w:i w:val="0"/>
                <w:iCs w:val="0"/>
                <w:color w:val="000000"/>
                <w:kern w:val="0"/>
                <w:sz w:val="20"/>
                <w:szCs w:val="20"/>
                <w:u w:val="none"/>
                <w:lang w:val="en-US" w:eastAsia="zh-CN" w:bidi="ar"/>
              </w:rPr>
              <w:t>负面影响</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30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是否对生态环境造成负面影响</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r>
              <w:rPr>
                <w:rFonts w:hint="eastAsia" w:ascii="仿宋_GB2312" w:hAnsi="仿宋_GB2312" w:eastAsia="仿宋_GB2312" w:cs="仿宋_GB2312"/>
                <w:i w:val="0"/>
                <w:iCs w:val="0"/>
                <w:color w:val="000000"/>
                <w:kern w:val="0"/>
                <w:sz w:val="20"/>
                <w:szCs w:val="20"/>
                <w:u w:val="none"/>
                <w:lang w:val="en-US" w:eastAsia="zh-CN" w:bidi="ar"/>
              </w:rPr>
              <w:t>负面影响</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r>
              <w:rPr>
                <w:rFonts w:hint="eastAsia" w:ascii="仿宋_GB2312" w:hAnsi="仿宋_GB2312" w:eastAsia="仿宋_GB2312" w:cs="仿宋_GB2312"/>
                <w:i w:val="0"/>
                <w:iCs w:val="0"/>
                <w:color w:val="000000"/>
                <w:kern w:val="0"/>
                <w:sz w:val="20"/>
                <w:szCs w:val="20"/>
                <w:u w:val="none"/>
                <w:lang w:val="en-US" w:eastAsia="zh-CN" w:bidi="ar"/>
              </w:rPr>
              <w:t>负面影响</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2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不适用</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不适用</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不适用</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将市容秩序治理得井然有序，为市民营造秀美整洁的生活环境</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加强执法队伍力量</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加强了执法队伍力量</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提供就业岗位</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提供一定数量的就业岗位</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提供了一定数量的就业岗位</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31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30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是否产生一定的生态效益</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30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加强执法，改善</w:t>
            </w:r>
            <w:r>
              <w:rPr>
                <w:rFonts w:hint="eastAsia" w:ascii="仿宋_GB2312" w:hAnsi="仿宋_GB2312" w:eastAsia="仿宋_GB2312" w:cs="仿宋_GB2312"/>
                <w:color w:val="000000"/>
                <w:sz w:val="20"/>
                <w:szCs w:val="20"/>
              </w:rPr>
              <w:t>城区市容秩序、美</w:t>
            </w:r>
            <w:r>
              <w:rPr>
                <w:rFonts w:hint="eastAsia" w:ascii="仿宋_GB2312" w:hAnsi="仿宋_GB2312" w:eastAsia="仿宋_GB2312" w:cs="仿宋_GB2312"/>
                <w:color w:val="000000"/>
                <w:sz w:val="20"/>
                <w:szCs w:val="20"/>
                <w:lang w:eastAsia="zh-CN"/>
              </w:rPr>
              <w:t>化</w:t>
            </w:r>
            <w:r>
              <w:rPr>
                <w:rFonts w:hint="eastAsia" w:ascii="仿宋_GB2312" w:hAnsi="仿宋_GB2312" w:eastAsia="仿宋_GB2312" w:cs="仿宋_GB2312"/>
                <w:color w:val="000000"/>
                <w:sz w:val="20"/>
                <w:szCs w:val="20"/>
              </w:rPr>
              <w:t>环境</w:t>
            </w:r>
            <w:r>
              <w:rPr>
                <w:rFonts w:hint="eastAsia" w:ascii="仿宋_GB2312" w:hAnsi="仿宋_GB2312" w:eastAsia="仿宋_GB2312" w:cs="仿宋_GB2312"/>
                <w:color w:val="000000"/>
                <w:sz w:val="20"/>
                <w:szCs w:val="20"/>
                <w:lang w:eastAsia="zh-CN"/>
              </w:rPr>
              <w:t>。</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30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市容秩序</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整</w:t>
            </w:r>
            <w:r>
              <w:rPr>
                <w:rFonts w:hint="eastAsia" w:ascii="仿宋_GB2312" w:hAnsi="仿宋_GB2312" w:eastAsia="仿宋_GB2312" w:cs="仿宋_GB2312"/>
                <w:color w:val="000000"/>
                <w:sz w:val="20"/>
                <w:szCs w:val="20"/>
                <w:lang w:val="en-US" w:eastAsia="zh-CN"/>
              </w:rPr>
              <w:t>体</w:t>
            </w:r>
            <w:r>
              <w:rPr>
                <w:rFonts w:hint="eastAsia" w:ascii="仿宋_GB2312" w:hAnsi="仿宋_GB2312" w:eastAsia="仿宋_GB2312" w:cs="仿宋_GB2312"/>
                <w:color w:val="000000"/>
                <w:sz w:val="20"/>
                <w:szCs w:val="20"/>
              </w:rPr>
              <w:t>环境</w:t>
            </w:r>
            <w:r>
              <w:rPr>
                <w:rFonts w:hint="eastAsia" w:ascii="仿宋_GB2312" w:hAnsi="仿宋_GB2312" w:eastAsia="仿宋_GB2312" w:cs="仿宋_GB2312"/>
                <w:color w:val="000000"/>
                <w:sz w:val="20"/>
                <w:szCs w:val="20"/>
                <w:lang w:val="en-US" w:eastAsia="zh-CN"/>
              </w:rPr>
              <w:t>不断提升</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30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城区扬尘治理</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adjustRightInd/>
              <w:snapToGrid/>
              <w:spacing w:line="30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lang w:eastAsia="zh-CN"/>
              </w:rPr>
              <w:t>协助执法人员加强基建场地污染源整治</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rPr>
              <w:t>严格管控</w:t>
            </w:r>
            <w:r>
              <w:rPr>
                <w:rFonts w:hint="eastAsia" w:ascii="仿宋_GB2312" w:hAnsi="仿宋_GB2312" w:eastAsia="仿宋_GB2312" w:cs="仿宋_GB2312"/>
                <w:sz w:val="20"/>
                <w:szCs w:val="20"/>
                <w:lang w:eastAsia="zh-CN"/>
              </w:rPr>
              <w:t>了</w:t>
            </w:r>
            <w:r>
              <w:rPr>
                <w:rFonts w:hint="eastAsia" w:ascii="仿宋_GB2312" w:hAnsi="仿宋_GB2312" w:eastAsia="仿宋_GB2312" w:cs="仿宋_GB2312"/>
                <w:sz w:val="20"/>
                <w:szCs w:val="20"/>
              </w:rPr>
              <w:t>污染源</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lang w:val="en-US" w:eastAsia="zh-CN"/>
              </w:rPr>
              <w:t>减少了城市污染源。</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是否对城市管理产生持续影响</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加强了执法队伍力量</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补充了执法队伍，加强了执法力度。</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1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≥95</w:t>
            </w:r>
            <w:r>
              <w:rPr>
                <w:rFonts w:hint="eastAsia" w:ascii="仿宋_GB2312" w:hAnsi="仿宋_GB2312" w:eastAsia="仿宋_GB2312" w:cs="仿宋_GB2312"/>
                <w:color w:val="000000"/>
                <w:sz w:val="20"/>
                <w:szCs w:val="20"/>
                <w:highlight w:val="none"/>
                <w:lang w:val="en-US" w:eastAsia="zh-CN"/>
              </w:rPr>
              <w:t>%</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65" w:hRule="atLeast"/>
          <w:jc w:val="center"/>
        </w:trPr>
        <w:tc>
          <w:tcPr>
            <w:tcW w:w="658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widowControl w:val="0"/>
        <w:kinsoku/>
        <w:wordWrap/>
        <w:overflowPunct/>
        <w:topLinePunct w:val="0"/>
        <w:autoSpaceDE/>
        <w:autoSpaceDN/>
        <w:bidi w:val="0"/>
        <w:adjustRightInd/>
        <w:snapToGrid/>
        <w:spacing w:afterLines="0" w:line="300" w:lineRule="exact"/>
        <w:ind w:right="0" w:rightChars="0"/>
        <w:jc w:val="both"/>
        <w:textAlignment w:val="auto"/>
        <w:rPr>
          <w:rFonts w:hint="default" w:ascii="Times New Roman" w:hAnsi="Times New Roman" w:eastAsia="仿宋_GB2312" w:cs="Times New Roman"/>
          <w:sz w:val="22"/>
          <w:szCs w:val="22"/>
          <w:highlight w:val="none"/>
        </w:rPr>
      </w:pPr>
    </w:p>
    <w:p>
      <w:pPr>
        <w:widowControl/>
        <w:spacing w:line="600" w:lineRule="exact"/>
        <w:jc w:val="left"/>
        <w:rPr>
          <w:rFonts w:hint="eastAsia" w:ascii="CESI仿宋-GB2312" w:hAnsi="CESI仿宋-GB2312" w:eastAsia="CESI仿宋-GB2312" w:cs="CESI仿宋-GB2312"/>
          <w:color w:val="auto"/>
          <w:sz w:val="22"/>
          <w:szCs w:val="22"/>
        </w:rPr>
      </w:pPr>
    </w:p>
    <w:p>
      <w:pPr>
        <w:widowControl/>
        <w:spacing w:line="600" w:lineRule="exact"/>
        <w:jc w:val="left"/>
        <w:rPr>
          <w:rFonts w:hint="eastAsia" w:ascii="CESI仿宋-GB2312" w:hAnsi="CESI仿宋-GB2312" w:eastAsia="CESI仿宋-GB2312" w:cs="CESI仿宋-GB2312"/>
          <w:color w:val="auto"/>
          <w:sz w:val="22"/>
          <w:szCs w:val="22"/>
          <w:highlight w:val="none"/>
          <w:lang w:eastAsia="zh-CN"/>
        </w:rPr>
      </w:pPr>
      <w:r>
        <w:rPr>
          <w:rFonts w:hint="eastAsia" w:ascii="CESI仿宋-GB2312" w:hAnsi="CESI仿宋-GB2312" w:eastAsia="CESI仿宋-GB2312" w:cs="CESI仿宋-GB2312"/>
          <w:color w:val="auto"/>
          <w:sz w:val="22"/>
          <w:szCs w:val="22"/>
        </w:rPr>
        <w:t>填表人：</w:t>
      </w:r>
      <w:r>
        <w:rPr>
          <w:rFonts w:hint="eastAsia" w:ascii="CESI仿宋-GB2312" w:hAnsi="CESI仿宋-GB2312" w:eastAsia="CESI仿宋-GB2312" w:cs="CESI仿宋-GB2312"/>
          <w:color w:val="auto"/>
          <w:sz w:val="22"/>
          <w:szCs w:val="22"/>
          <w:lang w:val="en-US" w:eastAsia="zh-CN"/>
        </w:rPr>
        <w:t>喻秀娥</w:t>
      </w:r>
      <w:r>
        <w:rPr>
          <w:rFonts w:hint="eastAsia" w:ascii="CESI仿宋-GB2312" w:hAnsi="CESI仿宋-GB2312" w:eastAsia="CESI仿宋-GB2312" w:cs="CESI仿宋-GB2312"/>
          <w:color w:val="auto"/>
          <w:sz w:val="22"/>
          <w:szCs w:val="22"/>
        </w:rPr>
        <w:t xml:space="preserve">  填报日期：</w:t>
      </w:r>
      <w:r>
        <w:rPr>
          <w:rFonts w:hint="eastAsia" w:ascii="CESI仿宋-GB2312" w:hAnsi="CESI仿宋-GB2312" w:eastAsia="CESI仿宋-GB2312" w:cs="CESI仿宋-GB2312"/>
          <w:color w:val="auto"/>
          <w:sz w:val="22"/>
          <w:szCs w:val="22"/>
          <w:lang w:val="en-US" w:eastAsia="zh-CN"/>
        </w:rPr>
        <w:t>2024.6.22</w:t>
      </w:r>
      <w:r>
        <w:rPr>
          <w:rFonts w:hint="eastAsia" w:ascii="CESI仿宋-GB2312" w:hAnsi="CESI仿宋-GB2312" w:eastAsia="CESI仿宋-GB2312" w:cs="CESI仿宋-GB2312"/>
          <w:color w:val="auto"/>
          <w:sz w:val="22"/>
          <w:szCs w:val="22"/>
        </w:rPr>
        <w:t xml:space="preserve">  联系电话：</w:t>
      </w:r>
      <w:r>
        <w:rPr>
          <w:rFonts w:hint="eastAsia" w:ascii="CESI仿宋-GB2312" w:hAnsi="CESI仿宋-GB2312" w:eastAsia="CESI仿宋-GB2312" w:cs="CESI仿宋-GB2312"/>
          <w:color w:val="auto"/>
          <w:sz w:val="22"/>
          <w:szCs w:val="22"/>
          <w:lang w:val="en-US" w:eastAsia="zh-CN"/>
        </w:rPr>
        <w:t>0730-8227298</w:t>
      </w:r>
      <w:r>
        <w:rPr>
          <w:rFonts w:hint="eastAsia" w:ascii="CESI仿宋-GB2312" w:hAnsi="CESI仿宋-GB2312" w:eastAsia="CESI仿宋-GB2312" w:cs="CESI仿宋-GB2312"/>
          <w:color w:val="auto"/>
          <w:sz w:val="22"/>
          <w:szCs w:val="22"/>
        </w:rPr>
        <w:t xml:space="preserve"> 单位负责人：</w:t>
      </w:r>
      <w:r>
        <w:rPr>
          <w:rFonts w:hint="eastAsia" w:ascii="CESI仿宋-GB2312" w:hAnsi="CESI仿宋-GB2312" w:eastAsia="CESI仿宋-GB2312" w:cs="CESI仿宋-GB2312"/>
          <w:color w:val="auto"/>
          <w:sz w:val="22"/>
          <w:szCs w:val="22"/>
          <w:lang w:eastAsia="zh-CN"/>
        </w:rPr>
        <w:t>郭沫农</w:t>
      </w: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3-3</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80"/>
        <w:gridCol w:w="1080"/>
        <w:gridCol w:w="1080"/>
        <w:gridCol w:w="1124"/>
        <w:gridCol w:w="1110"/>
        <w:gridCol w:w="1080"/>
        <w:gridCol w:w="1006"/>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lang w:val="en-US" w:eastAsia="zh-CN"/>
              </w:rPr>
              <w:t>办案费</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80" w:hRule="atLeast"/>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39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岳阳市城市管理和综合执法局</w:t>
            </w:r>
          </w:p>
        </w:tc>
        <w:tc>
          <w:tcPr>
            <w:tcW w:w="1080"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实施单位</w:t>
            </w:r>
          </w:p>
        </w:tc>
        <w:tc>
          <w:tcPr>
            <w:tcW w:w="329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岳阳市城市管理综合行政执法支队</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100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435"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1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15.00</w:t>
            </w:r>
          </w:p>
        </w:tc>
        <w:tc>
          <w:tcPr>
            <w:tcW w:w="11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67.57</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67.57</w:t>
            </w:r>
          </w:p>
        </w:tc>
        <w:tc>
          <w:tcPr>
            <w:tcW w:w="10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w:t>
            </w:r>
          </w:p>
        </w:tc>
      </w:tr>
      <w:tr>
        <w:tblPrEx>
          <w:tblCellMar>
            <w:top w:w="0" w:type="dxa"/>
            <w:left w:w="108" w:type="dxa"/>
            <w:bottom w:w="0" w:type="dxa"/>
            <w:right w:w="108" w:type="dxa"/>
          </w:tblCellMar>
        </w:tblPrEx>
        <w:trPr>
          <w:trHeight w:val="54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1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15.00</w:t>
            </w:r>
          </w:p>
        </w:tc>
        <w:tc>
          <w:tcPr>
            <w:tcW w:w="11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67.57</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67.57</w:t>
            </w:r>
          </w:p>
        </w:tc>
        <w:tc>
          <w:tcPr>
            <w:tcW w:w="10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1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1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05"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394"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77"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1335"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4394"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依法依规行使行政处罚权，管罚分离，杜绝以罚代管、以罚代收，处罚做到审慎包容。　　</w:t>
            </w:r>
          </w:p>
        </w:tc>
        <w:tc>
          <w:tcPr>
            <w:tcW w:w="4377"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支队在管辖区域内</w:t>
            </w:r>
            <w:r>
              <w:rPr>
                <w:rFonts w:hint="eastAsia" w:ascii="仿宋_GB2312" w:hAnsi="仿宋_GB2312" w:eastAsia="仿宋_GB2312" w:cs="仿宋_GB2312"/>
                <w:color w:val="000000"/>
                <w:sz w:val="20"/>
                <w:szCs w:val="20"/>
                <w:highlight w:val="none"/>
              </w:rPr>
              <w:t>依法依规行使行政处罚权，</w:t>
            </w:r>
            <w:r>
              <w:rPr>
                <w:rFonts w:hint="eastAsia" w:ascii="仿宋_GB2312" w:hAnsi="仿宋_GB2312" w:eastAsia="仿宋_GB2312" w:cs="仿宋_GB2312"/>
                <w:color w:val="000000"/>
                <w:sz w:val="20"/>
                <w:szCs w:val="20"/>
                <w:highlight w:val="none"/>
                <w:lang w:val="en-US" w:eastAsia="zh-CN"/>
              </w:rPr>
              <w:t>坚持</w:t>
            </w:r>
            <w:r>
              <w:rPr>
                <w:rFonts w:hint="eastAsia" w:ascii="仿宋_GB2312" w:hAnsi="仿宋_GB2312" w:eastAsia="仿宋_GB2312" w:cs="仿宋_GB2312"/>
                <w:color w:val="000000"/>
                <w:sz w:val="20"/>
                <w:szCs w:val="20"/>
                <w:highlight w:val="none"/>
              </w:rPr>
              <w:t>管罚分离，杜绝以罚代管、以罚代收</w:t>
            </w:r>
            <w:r>
              <w:rPr>
                <w:rFonts w:hint="eastAsia" w:ascii="仿宋_GB2312" w:hAnsi="仿宋_GB2312" w:eastAsia="仿宋_GB2312" w:cs="仿宋_GB2312"/>
                <w:color w:val="000000"/>
                <w:sz w:val="20"/>
                <w:szCs w:val="20"/>
                <w:highlight w:val="none"/>
                <w:lang w:val="en-US" w:eastAsia="zh-CN"/>
              </w:rPr>
              <w:t>等行为</w:t>
            </w: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val="en-US" w:eastAsia="zh-CN"/>
              </w:rPr>
              <w:t>按“包容审慎”原则减免处罚合规陈述申辨案件25起，践行了为民初心。</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1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10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12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宣传政策法律法规</w:t>
            </w:r>
          </w:p>
        </w:tc>
        <w:tc>
          <w:tcPr>
            <w:tcW w:w="11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不少于6次</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8次</w:t>
            </w:r>
          </w:p>
        </w:tc>
        <w:tc>
          <w:tcPr>
            <w:tcW w:w="10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12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办案专业案审会议</w:t>
            </w:r>
          </w:p>
        </w:tc>
        <w:tc>
          <w:tcPr>
            <w:tcW w:w="11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不少于12次</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14次</w:t>
            </w:r>
          </w:p>
        </w:tc>
        <w:tc>
          <w:tcPr>
            <w:tcW w:w="10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12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发放印刷宣传资料</w:t>
            </w:r>
          </w:p>
        </w:tc>
        <w:tc>
          <w:tcPr>
            <w:tcW w:w="11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不少于10000份</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达20000余份</w:t>
            </w:r>
          </w:p>
        </w:tc>
        <w:tc>
          <w:tcPr>
            <w:tcW w:w="10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发放印刷宣传资料</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12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减免处罚合规陈述申辨案件</w:t>
            </w:r>
          </w:p>
        </w:tc>
        <w:tc>
          <w:tcPr>
            <w:tcW w:w="11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“包容审慎</w:t>
            </w:r>
            <w:r>
              <w:rPr>
                <w:rFonts w:hint="default" w:ascii="仿宋_GB2312" w:hAnsi="仿宋_GB2312" w:eastAsia="仿宋_GB2312" w:cs="仿宋_GB2312"/>
                <w:color w:val="000000"/>
                <w:sz w:val="20"/>
                <w:szCs w:val="20"/>
                <w:highlight w:val="none"/>
                <w:lang w:val="en-US" w:eastAsia="zh-CN"/>
              </w:rPr>
              <w:t>’</w:t>
            </w:r>
            <w:r>
              <w:rPr>
                <w:rFonts w:hint="eastAsia" w:ascii="仿宋_GB2312" w:hAnsi="仿宋_GB2312" w:eastAsia="仿宋_GB2312" w:cs="仿宋_GB2312"/>
                <w:color w:val="000000"/>
                <w:sz w:val="20"/>
                <w:szCs w:val="20"/>
                <w:highlight w:val="none"/>
                <w:lang w:val="en-US" w:eastAsia="zh-CN"/>
              </w:rPr>
              <w:t>处置合规案件</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25起</w:t>
            </w:r>
          </w:p>
        </w:tc>
        <w:tc>
          <w:tcPr>
            <w:tcW w:w="10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还有待进一步加强政策法规宣传，下一步加大宣传力度，提升市民知法守法的自觉意识。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1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违法违章处理及执法纠纷</w:t>
            </w:r>
          </w:p>
        </w:tc>
        <w:tc>
          <w:tcPr>
            <w:tcW w:w="11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比同期减少</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同比减少</w:t>
            </w:r>
          </w:p>
        </w:tc>
        <w:tc>
          <w:tcPr>
            <w:tcW w:w="10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1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依法依规实施</w:t>
            </w:r>
          </w:p>
        </w:tc>
        <w:tc>
          <w:tcPr>
            <w:tcW w:w="11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依法依规按程序实施</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均依法依规按程序实施</w:t>
            </w:r>
          </w:p>
        </w:tc>
        <w:tc>
          <w:tcPr>
            <w:tcW w:w="10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85"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1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文明执法</w:t>
            </w:r>
          </w:p>
        </w:tc>
        <w:tc>
          <w:tcPr>
            <w:tcW w:w="111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无负面舆情</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无负面舆情</w:t>
            </w:r>
          </w:p>
        </w:tc>
        <w:tc>
          <w:tcPr>
            <w:tcW w:w="10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按时完成各项工作任务</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2023年12月31日前</w:t>
            </w: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均如期完成</w:t>
            </w:r>
          </w:p>
        </w:tc>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案件办理时限</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按规定时间办结</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均如期完成</w:t>
            </w:r>
          </w:p>
        </w:tc>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控制在预算成本内</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67.57万元</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未超预算</w:t>
            </w:r>
          </w:p>
        </w:tc>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是否对社会发展造成负面影响</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r>
              <w:rPr>
                <w:rFonts w:hint="eastAsia" w:ascii="仿宋_GB2312" w:hAnsi="仿宋_GB2312" w:eastAsia="仿宋_GB2312" w:cs="仿宋_GB2312"/>
                <w:i w:val="0"/>
                <w:iCs w:val="0"/>
                <w:color w:val="000000"/>
                <w:kern w:val="0"/>
                <w:sz w:val="20"/>
                <w:szCs w:val="20"/>
                <w:u w:val="none"/>
                <w:lang w:val="en-US" w:eastAsia="zh-CN" w:bidi="ar"/>
              </w:rPr>
              <w:t>负面影响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r>
              <w:rPr>
                <w:rFonts w:hint="eastAsia" w:ascii="仿宋_GB2312" w:hAnsi="仿宋_GB2312" w:eastAsia="仿宋_GB2312" w:cs="仿宋_GB2312"/>
                <w:i w:val="0"/>
                <w:iCs w:val="0"/>
                <w:color w:val="000000"/>
                <w:kern w:val="0"/>
                <w:sz w:val="20"/>
                <w:szCs w:val="20"/>
                <w:u w:val="none"/>
                <w:lang w:val="en-US" w:eastAsia="zh-CN" w:bidi="ar"/>
              </w:rPr>
              <w:t>负面影响</w:t>
            </w:r>
          </w:p>
        </w:tc>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i w:val="0"/>
                <w:iCs w:val="0"/>
                <w:color w:val="000000"/>
                <w:kern w:val="0"/>
                <w:sz w:val="20"/>
                <w:szCs w:val="20"/>
                <w:u w:val="none"/>
                <w:lang w:val="en-US" w:eastAsia="zh-CN" w:bidi="ar"/>
              </w:rPr>
              <w:t>是否对生态环境造成负面影响</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r>
              <w:rPr>
                <w:rFonts w:hint="eastAsia" w:ascii="仿宋_GB2312" w:hAnsi="仿宋_GB2312" w:eastAsia="仿宋_GB2312" w:cs="仿宋_GB2312"/>
                <w:i w:val="0"/>
                <w:iCs w:val="0"/>
                <w:color w:val="000000"/>
                <w:kern w:val="0"/>
                <w:sz w:val="20"/>
                <w:szCs w:val="20"/>
                <w:u w:val="none"/>
                <w:lang w:val="en-US" w:eastAsia="zh-CN" w:bidi="ar"/>
              </w:rPr>
              <w:t>负面影响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w:t>
            </w:r>
            <w:r>
              <w:rPr>
                <w:rFonts w:hint="eastAsia" w:ascii="仿宋_GB2312" w:hAnsi="仿宋_GB2312" w:eastAsia="仿宋_GB2312" w:cs="仿宋_GB2312"/>
                <w:i w:val="0"/>
                <w:iCs w:val="0"/>
                <w:color w:val="000000"/>
                <w:kern w:val="0"/>
                <w:sz w:val="20"/>
                <w:szCs w:val="20"/>
                <w:u w:val="none"/>
                <w:lang w:val="en-US" w:eastAsia="zh-CN" w:bidi="ar"/>
              </w:rPr>
              <w:t>负面影响</w:t>
            </w:r>
          </w:p>
        </w:tc>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增加国家非税收入</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150</w:t>
            </w:r>
            <w:r>
              <w:rPr>
                <w:rFonts w:hint="eastAsia" w:ascii="仿宋_GB2312" w:hAnsi="仿宋_GB2312" w:eastAsia="仿宋_GB2312" w:cs="仿宋_GB2312"/>
                <w:color w:val="000000"/>
                <w:sz w:val="20"/>
                <w:szCs w:val="20"/>
                <w:highlight w:val="none"/>
                <w:lang w:val="en-US" w:eastAsia="zh-CN"/>
              </w:rPr>
              <w:t>万元</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151.51万元</w:t>
            </w:r>
          </w:p>
        </w:tc>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产生一定间接经济效益</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减少违行为导致的社会治理成本</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有效控制</w:t>
            </w:r>
          </w:p>
        </w:tc>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国家卫生城市、全国文明城市荣誉</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保持国家卫生城市、全国文明城市荣誉</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圆满完成</w:t>
            </w:r>
          </w:p>
        </w:tc>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部分路段应加强常态化管理，下一步加大巡查力度，实施常态化管理。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维护国家、公众利益</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及时管控违规行为，维护国家公众利益。</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有效实施</w:t>
            </w:r>
          </w:p>
        </w:tc>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园林监管“护绿”</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及时处置损绿毁绿行为</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守护了城市景观</w:t>
            </w:r>
          </w:p>
        </w:tc>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城市管理方面的违法、违规行为管理</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有效管控城市管理方面的违法、违规行为</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效果良好</w:t>
            </w:r>
          </w:p>
        </w:tc>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≥95</w:t>
            </w:r>
            <w:r>
              <w:rPr>
                <w:rFonts w:hint="eastAsia" w:ascii="仿宋_GB2312" w:hAnsi="仿宋_GB2312" w:eastAsia="仿宋_GB2312" w:cs="仿宋_GB2312"/>
                <w:color w:val="000000"/>
                <w:sz w:val="20"/>
                <w:szCs w:val="20"/>
                <w:highlight w:val="none"/>
                <w:lang w:val="en-US" w:eastAsia="zh-CN"/>
              </w:rPr>
              <w:t>%</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w:t>
            </w:r>
          </w:p>
        </w:tc>
        <w:tc>
          <w:tcPr>
            <w:tcW w:w="10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45" w:hRule="atLeast"/>
          <w:jc w:val="center"/>
        </w:trPr>
        <w:tc>
          <w:tcPr>
            <w:tcW w:w="6554"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100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_GB2312" w:cs="Times New Roman"/>
          <w:sz w:val="18"/>
          <w:szCs w:val="18"/>
          <w:highlight w:val="none"/>
        </w:rPr>
      </w:pPr>
    </w:p>
    <w:p>
      <w:pPr>
        <w:keepNext w:val="0"/>
        <w:keepLines w:val="0"/>
        <w:pageBreakBefore w:val="0"/>
        <w:widowControl w:val="0"/>
        <w:kinsoku/>
        <w:wordWrap/>
        <w:overflowPunct/>
        <w:topLinePunct w:val="0"/>
        <w:autoSpaceDE/>
        <w:autoSpaceDN/>
        <w:bidi w:val="0"/>
        <w:adjustRightInd/>
        <w:snapToGrid/>
        <w:spacing w:afterLines="0" w:line="300" w:lineRule="exact"/>
        <w:ind w:right="0" w:rightChars="0"/>
        <w:jc w:val="both"/>
        <w:textAlignment w:val="auto"/>
        <w:rPr>
          <w:rFonts w:hint="eastAsia" w:ascii="CESI仿宋-GB2312" w:hAnsi="CESI仿宋-GB2312" w:eastAsia="CESI仿宋-GB2312" w:cs="CESI仿宋-GB2312"/>
          <w:color w:val="auto"/>
          <w:sz w:val="22"/>
          <w:szCs w:val="22"/>
          <w:lang w:eastAsia="zh-CN"/>
        </w:rPr>
      </w:pPr>
      <w:r>
        <w:rPr>
          <w:rFonts w:hint="eastAsia" w:ascii="CESI仿宋-GB2312" w:hAnsi="CESI仿宋-GB2312" w:eastAsia="CESI仿宋-GB2312" w:cs="CESI仿宋-GB2312"/>
          <w:color w:val="auto"/>
          <w:sz w:val="22"/>
          <w:szCs w:val="22"/>
        </w:rPr>
        <w:t>填表人：</w:t>
      </w:r>
      <w:r>
        <w:rPr>
          <w:rFonts w:hint="eastAsia" w:ascii="CESI仿宋-GB2312" w:hAnsi="CESI仿宋-GB2312" w:eastAsia="CESI仿宋-GB2312" w:cs="CESI仿宋-GB2312"/>
          <w:color w:val="auto"/>
          <w:sz w:val="22"/>
          <w:szCs w:val="22"/>
          <w:lang w:val="en-US" w:eastAsia="zh-CN"/>
        </w:rPr>
        <w:t>喻秀娥</w:t>
      </w:r>
      <w:r>
        <w:rPr>
          <w:rFonts w:hint="eastAsia" w:ascii="CESI仿宋-GB2312" w:hAnsi="CESI仿宋-GB2312" w:eastAsia="CESI仿宋-GB2312" w:cs="CESI仿宋-GB2312"/>
          <w:color w:val="auto"/>
          <w:sz w:val="22"/>
          <w:szCs w:val="22"/>
        </w:rPr>
        <w:t xml:space="preserve">  填报日期：</w:t>
      </w:r>
      <w:r>
        <w:rPr>
          <w:rFonts w:hint="eastAsia" w:ascii="CESI仿宋-GB2312" w:hAnsi="CESI仿宋-GB2312" w:eastAsia="CESI仿宋-GB2312" w:cs="CESI仿宋-GB2312"/>
          <w:color w:val="auto"/>
          <w:sz w:val="22"/>
          <w:szCs w:val="22"/>
          <w:lang w:val="en-US" w:eastAsia="zh-CN"/>
        </w:rPr>
        <w:t>2024.6.22</w:t>
      </w:r>
      <w:r>
        <w:rPr>
          <w:rFonts w:hint="eastAsia" w:ascii="CESI仿宋-GB2312" w:hAnsi="CESI仿宋-GB2312" w:eastAsia="CESI仿宋-GB2312" w:cs="CESI仿宋-GB2312"/>
          <w:color w:val="auto"/>
          <w:sz w:val="22"/>
          <w:szCs w:val="22"/>
        </w:rPr>
        <w:t xml:space="preserve">  联系电话：</w:t>
      </w:r>
      <w:r>
        <w:rPr>
          <w:rFonts w:hint="eastAsia" w:ascii="CESI仿宋-GB2312" w:hAnsi="CESI仿宋-GB2312" w:eastAsia="CESI仿宋-GB2312" w:cs="CESI仿宋-GB2312"/>
          <w:color w:val="auto"/>
          <w:sz w:val="22"/>
          <w:szCs w:val="22"/>
          <w:lang w:val="en-US" w:eastAsia="zh-CN"/>
        </w:rPr>
        <w:t>0730-8227298</w:t>
      </w:r>
      <w:r>
        <w:rPr>
          <w:rFonts w:hint="eastAsia" w:ascii="CESI仿宋-GB2312" w:hAnsi="CESI仿宋-GB2312" w:eastAsia="CESI仿宋-GB2312" w:cs="CESI仿宋-GB2312"/>
          <w:color w:val="auto"/>
          <w:sz w:val="22"/>
          <w:szCs w:val="22"/>
        </w:rPr>
        <w:t xml:space="preserve"> 单位负责人：</w:t>
      </w:r>
      <w:r>
        <w:rPr>
          <w:rFonts w:hint="eastAsia" w:ascii="CESI仿宋-GB2312" w:hAnsi="CESI仿宋-GB2312" w:eastAsia="CESI仿宋-GB2312" w:cs="CESI仿宋-GB2312"/>
          <w:color w:val="auto"/>
          <w:sz w:val="22"/>
          <w:szCs w:val="22"/>
          <w:lang w:eastAsia="zh-CN"/>
        </w:rPr>
        <w:t>郭沫农</w:t>
      </w:r>
    </w:p>
    <w:sectPr>
      <w:footerReference r:id="rId3" w:type="default"/>
      <w:pgSz w:w="11906" w:h="16838"/>
      <w:pgMar w:top="1440" w:right="1689" w:bottom="1440" w:left="1746"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34"/>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70A2BD"/>
    <w:multiLevelType w:val="singleLevel"/>
    <w:tmpl w:val="9E70A2BD"/>
    <w:lvl w:ilvl="0" w:tentative="0">
      <w:start w:val="2"/>
      <w:numFmt w:val="chineseCounting"/>
      <w:suff w:val="nothing"/>
      <w:lvlText w:val="（%1）"/>
      <w:lvlJc w:val="left"/>
      <w:rPr>
        <w:rFonts w:hint="eastAsia"/>
      </w:rPr>
    </w:lvl>
  </w:abstractNum>
  <w:abstractNum w:abstractNumId="1">
    <w:nsid w:val="A9465CE9"/>
    <w:multiLevelType w:val="singleLevel"/>
    <w:tmpl w:val="A9465CE9"/>
    <w:lvl w:ilvl="0" w:tentative="0">
      <w:start w:val="5"/>
      <w:numFmt w:val="chineseCounting"/>
      <w:suff w:val="nothing"/>
      <w:lvlText w:val="%1、"/>
      <w:lvlJc w:val="left"/>
      <w:rPr>
        <w:rFonts w:hint="eastAsia" w:ascii="黑体" w:hAnsi="黑体" w:eastAsia="黑体" w:cs="黑体"/>
      </w:rPr>
    </w:lvl>
  </w:abstractNum>
  <w:abstractNum w:abstractNumId="2">
    <w:nsid w:val="B8EFCC68"/>
    <w:multiLevelType w:val="singleLevel"/>
    <w:tmpl w:val="B8EFCC68"/>
    <w:lvl w:ilvl="0" w:tentative="0">
      <w:start w:val="1"/>
      <w:numFmt w:val="decimal"/>
      <w:suff w:val="nothing"/>
      <w:lvlText w:val="%1、"/>
      <w:lvlJc w:val="left"/>
    </w:lvl>
  </w:abstractNum>
  <w:abstractNum w:abstractNumId="3">
    <w:nsid w:val="DFE6DB29"/>
    <w:multiLevelType w:val="singleLevel"/>
    <w:tmpl w:val="DFE6DB29"/>
    <w:lvl w:ilvl="0" w:tentative="0">
      <w:start w:val="1"/>
      <w:numFmt w:val="chineseCounting"/>
      <w:suff w:val="nothing"/>
      <w:lvlText w:val="%1、"/>
      <w:lvlJc w:val="left"/>
      <w:rPr>
        <w:rFonts w:hint="eastAsia"/>
      </w:rPr>
    </w:lvl>
  </w:abstractNum>
  <w:abstractNum w:abstractNumId="4">
    <w:nsid w:val="4E0980DE"/>
    <w:multiLevelType w:val="singleLevel"/>
    <w:tmpl w:val="4E0980DE"/>
    <w:lvl w:ilvl="0" w:tentative="0">
      <w:start w:val="2"/>
      <w:numFmt w:val="chineseCounting"/>
      <w:suff w:val="nothing"/>
      <w:lvlText w:val="(%1）"/>
      <w:lvlJc w:val="left"/>
      <w:rPr>
        <w:rFonts w:hint="eastAsia"/>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hYWU5ZDA4MDAzZjVhMjY1Njg2ZDBhNjc3MTE1YjcifQ=="/>
  </w:docVars>
  <w:rsids>
    <w:rsidRoot w:val="59886344"/>
    <w:rsid w:val="0022181C"/>
    <w:rsid w:val="004A5BD4"/>
    <w:rsid w:val="0058523E"/>
    <w:rsid w:val="00AE30B0"/>
    <w:rsid w:val="00C61417"/>
    <w:rsid w:val="00CB3C62"/>
    <w:rsid w:val="00E67015"/>
    <w:rsid w:val="01074535"/>
    <w:rsid w:val="011E1FE4"/>
    <w:rsid w:val="015B3238"/>
    <w:rsid w:val="01A249C3"/>
    <w:rsid w:val="01A544B3"/>
    <w:rsid w:val="01A87AFF"/>
    <w:rsid w:val="01E925F2"/>
    <w:rsid w:val="0216715F"/>
    <w:rsid w:val="02353A89"/>
    <w:rsid w:val="02873BB9"/>
    <w:rsid w:val="029A4586"/>
    <w:rsid w:val="02AD361F"/>
    <w:rsid w:val="02D37AB4"/>
    <w:rsid w:val="03011BBD"/>
    <w:rsid w:val="03457CFC"/>
    <w:rsid w:val="03D177E1"/>
    <w:rsid w:val="03D80B70"/>
    <w:rsid w:val="03F57086"/>
    <w:rsid w:val="03FD4132"/>
    <w:rsid w:val="04021749"/>
    <w:rsid w:val="0466617C"/>
    <w:rsid w:val="046B3792"/>
    <w:rsid w:val="048D195A"/>
    <w:rsid w:val="054E09BE"/>
    <w:rsid w:val="054F118C"/>
    <w:rsid w:val="05AA653C"/>
    <w:rsid w:val="06307387"/>
    <w:rsid w:val="0648365F"/>
    <w:rsid w:val="06620BC5"/>
    <w:rsid w:val="06712BB6"/>
    <w:rsid w:val="06882A8B"/>
    <w:rsid w:val="068B1EC9"/>
    <w:rsid w:val="06D51397"/>
    <w:rsid w:val="06F2019A"/>
    <w:rsid w:val="06F74635"/>
    <w:rsid w:val="07E51AAD"/>
    <w:rsid w:val="082A3964"/>
    <w:rsid w:val="083117D0"/>
    <w:rsid w:val="0865674A"/>
    <w:rsid w:val="086F4203"/>
    <w:rsid w:val="08BF22FE"/>
    <w:rsid w:val="08C14A26"/>
    <w:rsid w:val="09102B5A"/>
    <w:rsid w:val="093F0D49"/>
    <w:rsid w:val="094445B2"/>
    <w:rsid w:val="0958005D"/>
    <w:rsid w:val="09905E52"/>
    <w:rsid w:val="09CB4CD3"/>
    <w:rsid w:val="0A275119"/>
    <w:rsid w:val="0A310FDA"/>
    <w:rsid w:val="0A5F3EC8"/>
    <w:rsid w:val="0A636CB9"/>
    <w:rsid w:val="0AB13EC9"/>
    <w:rsid w:val="0AE20526"/>
    <w:rsid w:val="0AF13604"/>
    <w:rsid w:val="0B7712B9"/>
    <w:rsid w:val="0B923CFA"/>
    <w:rsid w:val="0B980BE5"/>
    <w:rsid w:val="0BBA2AA7"/>
    <w:rsid w:val="0BD47E6F"/>
    <w:rsid w:val="0BD953F2"/>
    <w:rsid w:val="0C965124"/>
    <w:rsid w:val="0D466B4A"/>
    <w:rsid w:val="0D645222"/>
    <w:rsid w:val="0D70006B"/>
    <w:rsid w:val="0DB066B9"/>
    <w:rsid w:val="0DFF034E"/>
    <w:rsid w:val="0E213113"/>
    <w:rsid w:val="0E707BF7"/>
    <w:rsid w:val="0E74594B"/>
    <w:rsid w:val="0E781C2B"/>
    <w:rsid w:val="0E7E40C2"/>
    <w:rsid w:val="0E8F2773"/>
    <w:rsid w:val="0EA36836"/>
    <w:rsid w:val="0EA63619"/>
    <w:rsid w:val="0EB6471F"/>
    <w:rsid w:val="0F1B7B63"/>
    <w:rsid w:val="0F5512C6"/>
    <w:rsid w:val="0F740B87"/>
    <w:rsid w:val="104135F9"/>
    <w:rsid w:val="105477D0"/>
    <w:rsid w:val="10962C7F"/>
    <w:rsid w:val="11586E4C"/>
    <w:rsid w:val="115F467E"/>
    <w:rsid w:val="117FE145"/>
    <w:rsid w:val="11A7392F"/>
    <w:rsid w:val="11AC53EA"/>
    <w:rsid w:val="11C6025A"/>
    <w:rsid w:val="11C75D80"/>
    <w:rsid w:val="11D24E50"/>
    <w:rsid w:val="11EB4164"/>
    <w:rsid w:val="1246139A"/>
    <w:rsid w:val="12526E75"/>
    <w:rsid w:val="12555A81"/>
    <w:rsid w:val="12C10A21"/>
    <w:rsid w:val="12CD5618"/>
    <w:rsid w:val="12D87820"/>
    <w:rsid w:val="12D90460"/>
    <w:rsid w:val="13453400"/>
    <w:rsid w:val="13573157"/>
    <w:rsid w:val="136F66CF"/>
    <w:rsid w:val="13C95DDF"/>
    <w:rsid w:val="13E72709"/>
    <w:rsid w:val="13EA7908"/>
    <w:rsid w:val="13FE054C"/>
    <w:rsid w:val="142676D5"/>
    <w:rsid w:val="14661880"/>
    <w:rsid w:val="14A423A8"/>
    <w:rsid w:val="151237B6"/>
    <w:rsid w:val="15695ACC"/>
    <w:rsid w:val="157F52EF"/>
    <w:rsid w:val="15BF393E"/>
    <w:rsid w:val="15C471A6"/>
    <w:rsid w:val="15EC3507"/>
    <w:rsid w:val="15F35395"/>
    <w:rsid w:val="16976668"/>
    <w:rsid w:val="16A4024D"/>
    <w:rsid w:val="16D851DB"/>
    <w:rsid w:val="16E178E4"/>
    <w:rsid w:val="17233A58"/>
    <w:rsid w:val="17AC6144"/>
    <w:rsid w:val="18041ADC"/>
    <w:rsid w:val="18495740"/>
    <w:rsid w:val="18736C61"/>
    <w:rsid w:val="189440AA"/>
    <w:rsid w:val="18A35434"/>
    <w:rsid w:val="18BF5A03"/>
    <w:rsid w:val="191044B0"/>
    <w:rsid w:val="19CA28B1"/>
    <w:rsid w:val="19CC0A45"/>
    <w:rsid w:val="19FA13E8"/>
    <w:rsid w:val="1A136006"/>
    <w:rsid w:val="1A372AF8"/>
    <w:rsid w:val="1AB05F4B"/>
    <w:rsid w:val="1ABF1EEF"/>
    <w:rsid w:val="1AC92B69"/>
    <w:rsid w:val="1B140288"/>
    <w:rsid w:val="1B572F6A"/>
    <w:rsid w:val="1B972C67"/>
    <w:rsid w:val="1BAB226E"/>
    <w:rsid w:val="1BD712B5"/>
    <w:rsid w:val="1CCC06EE"/>
    <w:rsid w:val="1CDF6673"/>
    <w:rsid w:val="1CEC0554"/>
    <w:rsid w:val="1E0A7720"/>
    <w:rsid w:val="1E0C06B5"/>
    <w:rsid w:val="1E206F43"/>
    <w:rsid w:val="1E2C3B3A"/>
    <w:rsid w:val="1E7B23CC"/>
    <w:rsid w:val="1E870D71"/>
    <w:rsid w:val="1EBF4107"/>
    <w:rsid w:val="1F443106"/>
    <w:rsid w:val="1F4629DA"/>
    <w:rsid w:val="1F6D440A"/>
    <w:rsid w:val="1F952318"/>
    <w:rsid w:val="1FF31C5E"/>
    <w:rsid w:val="204B21AD"/>
    <w:rsid w:val="209E05F3"/>
    <w:rsid w:val="20E06E5E"/>
    <w:rsid w:val="20E56222"/>
    <w:rsid w:val="20EA55E7"/>
    <w:rsid w:val="20FB6EDC"/>
    <w:rsid w:val="212F0D11"/>
    <w:rsid w:val="219A0DBB"/>
    <w:rsid w:val="21E40288"/>
    <w:rsid w:val="21F20913"/>
    <w:rsid w:val="22433200"/>
    <w:rsid w:val="22943A5C"/>
    <w:rsid w:val="22FF35CB"/>
    <w:rsid w:val="23447230"/>
    <w:rsid w:val="23502079"/>
    <w:rsid w:val="235F050E"/>
    <w:rsid w:val="237C10C0"/>
    <w:rsid w:val="23E26A49"/>
    <w:rsid w:val="23FF52CD"/>
    <w:rsid w:val="241E204C"/>
    <w:rsid w:val="245A2A83"/>
    <w:rsid w:val="248F4E23"/>
    <w:rsid w:val="24CD5299"/>
    <w:rsid w:val="24D942F0"/>
    <w:rsid w:val="251D5F8B"/>
    <w:rsid w:val="253B28B5"/>
    <w:rsid w:val="255816B9"/>
    <w:rsid w:val="257F27A2"/>
    <w:rsid w:val="25A55F80"/>
    <w:rsid w:val="26501B72"/>
    <w:rsid w:val="2652435A"/>
    <w:rsid w:val="2661634B"/>
    <w:rsid w:val="26834513"/>
    <w:rsid w:val="270311B0"/>
    <w:rsid w:val="27B03AAF"/>
    <w:rsid w:val="27D51B77"/>
    <w:rsid w:val="27F51DAF"/>
    <w:rsid w:val="28AB55D0"/>
    <w:rsid w:val="29023E15"/>
    <w:rsid w:val="29263F95"/>
    <w:rsid w:val="295B52D4"/>
    <w:rsid w:val="297B2758"/>
    <w:rsid w:val="29890093"/>
    <w:rsid w:val="29D5103E"/>
    <w:rsid w:val="29D92EC8"/>
    <w:rsid w:val="29F83A08"/>
    <w:rsid w:val="2A0B4F4C"/>
    <w:rsid w:val="2AB0456A"/>
    <w:rsid w:val="2ADA66CC"/>
    <w:rsid w:val="2AEB2687"/>
    <w:rsid w:val="2AFC6642"/>
    <w:rsid w:val="2B4A0842"/>
    <w:rsid w:val="2B642D2C"/>
    <w:rsid w:val="2B726905"/>
    <w:rsid w:val="2BFC0FF0"/>
    <w:rsid w:val="2C02237E"/>
    <w:rsid w:val="2C792640"/>
    <w:rsid w:val="2C8455B0"/>
    <w:rsid w:val="2D285E15"/>
    <w:rsid w:val="2D574004"/>
    <w:rsid w:val="2D8A03D1"/>
    <w:rsid w:val="2DE21C73"/>
    <w:rsid w:val="2DF06932"/>
    <w:rsid w:val="2DFB57C0"/>
    <w:rsid w:val="2E5D389C"/>
    <w:rsid w:val="2EEB534C"/>
    <w:rsid w:val="2F063D67"/>
    <w:rsid w:val="2F0D56B4"/>
    <w:rsid w:val="2F5C3B54"/>
    <w:rsid w:val="2F892CAE"/>
    <w:rsid w:val="2F96A5E1"/>
    <w:rsid w:val="2FB15C4D"/>
    <w:rsid w:val="2FC242FE"/>
    <w:rsid w:val="2FCF4325"/>
    <w:rsid w:val="2FDADF2F"/>
    <w:rsid w:val="30676C54"/>
    <w:rsid w:val="3082583C"/>
    <w:rsid w:val="30F73B34"/>
    <w:rsid w:val="3179279B"/>
    <w:rsid w:val="317C04DD"/>
    <w:rsid w:val="3187043E"/>
    <w:rsid w:val="318C4BC4"/>
    <w:rsid w:val="31B45EC9"/>
    <w:rsid w:val="31D43E75"/>
    <w:rsid w:val="320A7897"/>
    <w:rsid w:val="32236BAB"/>
    <w:rsid w:val="327411B4"/>
    <w:rsid w:val="327C22D2"/>
    <w:rsid w:val="32A73338"/>
    <w:rsid w:val="32A777DC"/>
    <w:rsid w:val="33082BEB"/>
    <w:rsid w:val="3328091C"/>
    <w:rsid w:val="33AB32FB"/>
    <w:rsid w:val="33DF6B01"/>
    <w:rsid w:val="33E12879"/>
    <w:rsid w:val="33EF31E8"/>
    <w:rsid w:val="34056568"/>
    <w:rsid w:val="343F6B5B"/>
    <w:rsid w:val="344277BC"/>
    <w:rsid w:val="346314E0"/>
    <w:rsid w:val="34A00986"/>
    <w:rsid w:val="34A264AC"/>
    <w:rsid w:val="35076310"/>
    <w:rsid w:val="350A76CF"/>
    <w:rsid w:val="350B6915"/>
    <w:rsid w:val="3511718E"/>
    <w:rsid w:val="35BB6AA8"/>
    <w:rsid w:val="35FA5E74"/>
    <w:rsid w:val="362058DB"/>
    <w:rsid w:val="3667350A"/>
    <w:rsid w:val="36713175"/>
    <w:rsid w:val="369624CB"/>
    <w:rsid w:val="36E0150E"/>
    <w:rsid w:val="37134B6B"/>
    <w:rsid w:val="371716E9"/>
    <w:rsid w:val="371F2036"/>
    <w:rsid w:val="374B6987"/>
    <w:rsid w:val="3790083E"/>
    <w:rsid w:val="37BEBC27"/>
    <w:rsid w:val="37FD64D4"/>
    <w:rsid w:val="380F08D0"/>
    <w:rsid w:val="38170F5F"/>
    <w:rsid w:val="382A0C93"/>
    <w:rsid w:val="382A2A41"/>
    <w:rsid w:val="384C5DD8"/>
    <w:rsid w:val="38521C1B"/>
    <w:rsid w:val="38AD086D"/>
    <w:rsid w:val="391536F1"/>
    <w:rsid w:val="393D67A4"/>
    <w:rsid w:val="395064D7"/>
    <w:rsid w:val="39A131D7"/>
    <w:rsid w:val="39EE7A9E"/>
    <w:rsid w:val="3A59760D"/>
    <w:rsid w:val="3A992100"/>
    <w:rsid w:val="3AA60379"/>
    <w:rsid w:val="3ABF6FC2"/>
    <w:rsid w:val="3B1B0D67"/>
    <w:rsid w:val="3B2023A2"/>
    <w:rsid w:val="3B4A33FA"/>
    <w:rsid w:val="3B7743A2"/>
    <w:rsid w:val="3BAE5737"/>
    <w:rsid w:val="3BB07701"/>
    <w:rsid w:val="3BD03356"/>
    <w:rsid w:val="3BF375EE"/>
    <w:rsid w:val="3C460065"/>
    <w:rsid w:val="3CE358B4"/>
    <w:rsid w:val="3CF25AF7"/>
    <w:rsid w:val="3CF655E7"/>
    <w:rsid w:val="3D145A6E"/>
    <w:rsid w:val="3D3D6D72"/>
    <w:rsid w:val="3D672041"/>
    <w:rsid w:val="3DA43295"/>
    <w:rsid w:val="3DB37034"/>
    <w:rsid w:val="3DBD6105"/>
    <w:rsid w:val="3E5E1696"/>
    <w:rsid w:val="3E7E3330"/>
    <w:rsid w:val="3EA846BF"/>
    <w:rsid w:val="3ED44393"/>
    <w:rsid w:val="3F2010B0"/>
    <w:rsid w:val="3F3562AE"/>
    <w:rsid w:val="3F372F35"/>
    <w:rsid w:val="3F446ADE"/>
    <w:rsid w:val="3F7738F7"/>
    <w:rsid w:val="3F7BCBD8"/>
    <w:rsid w:val="3F9F1F66"/>
    <w:rsid w:val="3FDA8BAB"/>
    <w:rsid w:val="3FED4ECB"/>
    <w:rsid w:val="3FF1653A"/>
    <w:rsid w:val="40051BF8"/>
    <w:rsid w:val="402E6E46"/>
    <w:rsid w:val="40626F0E"/>
    <w:rsid w:val="406867FC"/>
    <w:rsid w:val="40A67324"/>
    <w:rsid w:val="40BC26A4"/>
    <w:rsid w:val="415154E2"/>
    <w:rsid w:val="417B32CA"/>
    <w:rsid w:val="41827BD7"/>
    <w:rsid w:val="41DB2FFE"/>
    <w:rsid w:val="41F67E38"/>
    <w:rsid w:val="42042555"/>
    <w:rsid w:val="42482B23"/>
    <w:rsid w:val="426E3E72"/>
    <w:rsid w:val="42B50F67"/>
    <w:rsid w:val="42EF6D61"/>
    <w:rsid w:val="43282273"/>
    <w:rsid w:val="43860D47"/>
    <w:rsid w:val="43CF26EE"/>
    <w:rsid w:val="44200200"/>
    <w:rsid w:val="443133A9"/>
    <w:rsid w:val="44C85ABB"/>
    <w:rsid w:val="44D53D34"/>
    <w:rsid w:val="44F30166"/>
    <w:rsid w:val="45B24076"/>
    <w:rsid w:val="45E5269D"/>
    <w:rsid w:val="461B60BF"/>
    <w:rsid w:val="46431172"/>
    <w:rsid w:val="465869CB"/>
    <w:rsid w:val="46671304"/>
    <w:rsid w:val="46D52711"/>
    <w:rsid w:val="46F73C57"/>
    <w:rsid w:val="472114B3"/>
    <w:rsid w:val="47339889"/>
    <w:rsid w:val="473E02B7"/>
    <w:rsid w:val="474D22A8"/>
    <w:rsid w:val="476B4E24"/>
    <w:rsid w:val="477261B2"/>
    <w:rsid w:val="47746FF5"/>
    <w:rsid w:val="47E349BA"/>
    <w:rsid w:val="47FF95BD"/>
    <w:rsid w:val="48217291"/>
    <w:rsid w:val="48233009"/>
    <w:rsid w:val="482F19AD"/>
    <w:rsid w:val="484C07B1"/>
    <w:rsid w:val="48724017"/>
    <w:rsid w:val="488F68F0"/>
    <w:rsid w:val="48D80297"/>
    <w:rsid w:val="48E34432"/>
    <w:rsid w:val="4957740E"/>
    <w:rsid w:val="499D2CBB"/>
    <w:rsid w:val="49DC759C"/>
    <w:rsid w:val="4B2B6DA4"/>
    <w:rsid w:val="4BD27220"/>
    <w:rsid w:val="4C417F01"/>
    <w:rsid w:val="4C5E6D05"/>
    <w:rsid w:val="4C854292"/>
    <w:rsid w:val="4C940979"/>
    <w:rsid w:val="4CCD096F"/>
    <w:rsid w:val="4CEA0599"/>
    <w:rsid w:val="4CF37D51"/>
    <w:rsid w:val="4D573E80"/>
    <w:rsid w:val="4E6B144B"/>
    <w:rsid w:val="4EE72FE2"/>
    <w:rsid w:val="4EFFAD45"/>
    <w:rsid w:val="4F380BC9"/>
    <w:rsid w:val="4F455F5A"/>
    <w:rsid w:val="4F5A7C58"/>
    <w:rsid w:val="4F9F7B2E"/>
    <w:rsid w:val="4FC60E49"/>
    <w:rsid w:val="4FCD667C"/>
    <w:rsid w:val="4FD11893"/>
    <w:rsid w:val="4FDFD617"/>
    <w:rsid w:val="4FE614EB"/>
    <w:rsid w:val="4FF77255"/>
    <w:rsid w:val="4FFA6D45"/>
    <w:rsid w:val="501C4F0D"/>
    <w:rsid w:val="501E0C85"/>
    <w:rsid w:val="501F67AB"/>
    <w:rsid w:val="507E34D2"/>
    <w:rsid w:val="50C4220B"/>
    <w:rsid w:val="51107F44"/>
    <w:rsid w:val="512C4327"/>
    <w:rsid w:val="51D27F79"/>
    <w:rsid w:val="520E4D2A"/>
    <w:rsid w:val="523033E4"/>
    <w:rsid w:val="52522E68"/>
    <w:rsid w:val="525941F7"/>
    <w:rsid w:val="52614E59"/>
    <w:rsid w:val="5268443A"/>
    <w:rsid w:val="52701540"/>
    <w:rsid w:val="52CA25D7"/>
    <w:rsid w:val="52FF127B"/>
    <w:rsid w:val="536015B5"/>
    <w:rsid w:val="537255B7"/>
    <w:rsid w:val="538C05FC"/>
    <w:rsid w:val="539769D7"/>
    <w:rsid w:val="54273E81"/>
    <w:rsid w:val="54352A41"/>
    <w:rsid w:val="543640C4"/>
    <w:rsid w:val="544B7B6F"/>
    <w:rsid w:val="547635AA"/>
    <w:rsid w:val="548117E3"/>
    <w:rsid w:val="54B27BEE"/>
    <w:rsid w:val="54C17E31"/>
    <w:rsid w:val="54C2380D"/>
    <w:rsid w:val="54EB4EAE"/>
    <w:rsid w:val="555A7AD1"/>
    <w:rsid w:val="55A8275D"/>
    <w:rsid w:val="55D707AE"/>
    <w:rsid w:val="55E95892"/>
    <w:rsid w:val="55EA1BDE"/>
    <w:rsid w:val="5609092B"/>
    <w:rsid w:val="561548D9"/>
    <w:rsid w:val="567D422C"/>
    <w:rsid w:val="56DF0A43"/>
    <w:rsid w:val="578C0BCA"/>
    <w:rsid w:val="579161E1"/>
    <w:rsid w:val="57B27F05"/>
    <w:rsid w:val="57FE5AAB"/>
    <w:rsid w:val="581B1F4E"/>
    <w:rsid w:val="584414A5"/>
    <w:rsid w:val="587A4EC7"/>
    <w:rsid w:val="58B25E24"/>
    <w:rsid w:val="58C12DA3"/>
    <w:rsid w:val="58ED7447"/>
    <w:rsid w:val="58FF468A"/>
    <w:rsid w:val="59232E69"/>
    <w:rsid w:val="59282B75"/>
    <w:rsid w:val="593E5EF4"/>
    <w:rsid w:val="59413C36"/>
    <w:rsid w:val="5954396A"/>
    <w:rsid w:val="59885EDD"/>
    <w:rsid w:val="59886344"/>
    <w:rsid w:val="59900C4D"/>
    <w:rsid w:val="59E44CEE"/>
    <w:rsid w:val="59EA6BEE"/>
    <w:rsid w:val="5A655703"/>
    <w:rsid w:val="5A690D4F"/>
    <w:rsid w:val="5A9A35FE"/>
    <w:rsid w:val="5AC429BF"/>
    <w:rsid w:val="5AF05A78"/>
    <w:rsid w:val="5AF70A51"/>
    <w:rsid w:val="5B1213E7"/>
    <w:rsid w:val="5B415CBC"/>
    <w:rsid w:val="5B560EF0"/>
    <w:rsid w:val="5BC633A9"/>
    <w:rsid w:val="5BCC5A39"/>
    <w:rsid w:val="5BDB7A2A"/>
    <w:rsid w:val="5BF64864"/>
    <w:rsid w:val="5C0952F3"/>
    <w:rsid w:val="5C153D97"/>
    <w:rsid w:val="5C7D6D34"/>
    <w:rsid w:val="5C7F7828"/>
    <w:rsid w:val="5C8A33AC"/>
    <w:rsid w:val="5CD71B78"/>
    <w:rsid w:val="5CEF3E18"/>
    <w:rsid w:val="5D887B7A"/>
    <w:rsid w:val="5D900CE9"/>
    <w:rsid w:val="5DA80D16"/>
    <w:rsid w:val="5DF94AE0"/>
    <w:rsid w:val="5E2002BE"/>
    <w:rsid w:val="5E2B954A"/>
    <w:rsid w:val="5EA467FA"/>
    <w:rsid w:val="5ED74E21"/>
    <w:rsid w:val="5EF77271"/>
    <w:rsid w:val="5EFFA2D3"/>
    <w:rsid w:val="5F1871E8"/>
    <w:rsid w:val="5F77A2ED"/>
    <w:rsid w:val="5F926F9A"/>
    <w:rsid w:val="5FB03E3C"/>
    <w:rsid w:val="5FED7369"/>
    <w:rsid w:val="5FEF6116"/>
    <w:rsid w:val="601259E5"/>
    <w:rsid w:val="60206354"/>
    <w:rsid w:val="60242AAE"/>
    <w:rsid w:val="6045400C"/>
    <w:rsid w:val="60B8658C"/>
    <w:rsid w:val="6103289E"/>
    <w:rsid w:val="61930DA7"/>
    <w:rsid w:val="61E37639"/>
    <w:rsid w:val="625978FB"/>
    <w:rsid w:val="62B72874"/>
    <w:rsid w:val="62C90F25"/>
    <w:rsid w:val="633A772C"/>
    <w:rsid w:val="63536A40"/>
    <w:rsid w:val="638561D0"/>
    <w:rsid w:val="63AC035B"/>
    <w:rsid w:val="63C45248"/>
    <w:rsid w:val="63CD41A6"/>
    <w:rsid w:val="64431083"/>
    <w:rsid w:val="64432611"/>
    <w:rsid w:val="64AA6B34"/>
    <w:rsid w:val="64D21BE7"/>
    <w:rsid w:val="64EE6A20"/>
    <w:rsid w:val="650A2CC5"/>
    <w:rsid w:val="651E4E2C"/>
    <w:rsid w:val="6554084E"/>
    <w:rsid w:val="65711400"/>
    <w:rsid w:val="65876E75"/>
    <w:rsid w:val="65A63A25"/>
    <w:rsid w:val="65BF03BD"/>
    <w:rsid w:val="65C15EE3"/>
    <w:rsid w:val="65D42C8C"/>
    <w:rsid w:val="66044CA8"/>
    <w:rsid w:val="66154481"/>
    <w:rsid w:val="666351EC"/>
    <w:rsid w:val="668A09CB"/>
    <w:rsid w:val="66BC48FC"/>
    <w:rsid w:val="66CF2CA7"/>
    <w:rsid w:val="66FE2E33"/>
    <w:rsid w:val="67064E05"/>
    <w:rsid w:val="67386679"/>
    <w:rsid w:val="676A2DDC"/>
    <w:rsid w:val="676C00D0"/>
    <w:rsid w:val="681F3395"/>
    <w:rsid w:val="685E210F"/>
    <w:rsid w:val="68D423D1"/>
    <w:rsid w:val="69034A64"/>
    <w:rsid w:val="69085BD7"/>
    <w:rsid w:val="69087695"/>
    <w:rsid w:val="697E7979"/>
    <w:rsid w:val="69AF24F6"/>
    <w:rsid w:val="69C064B2"/>
    <w:rsid w:val="69D63F27"/>
    <w:rsid w:val="6A364414"/>
    <w:rsid w:val="6A3C1FDC"/>
    <w:rsid w:val="6A435BC0"/>
    <w:rsid w:val="6A7B48DB"/>
    <w:rsid w:val="6AA10091"/>
    <w:rsid w:val="6AA87672"/>
    <w:rsid w:val="6ABE009D"/>
    <w:rsid w:val="6ACB3360"/>
    <w:rsid w:val="6AFB61ED"/>
    <w:rsid w:val="6AFC5236"/>
    <w:rsid w:val="6B8A4FC9"/>
    <w:rsid w:val="6B997652"/>
    <w:rsid w:val="6BC746B9"/>
    <w:rsid w:val="6BC95AF1"/>
    <w:rsid w:val="6C304865"/>
    <w:rsid w:val="6C4B4758"/>
    <w:rsid w:val="6CA16A6E"/>
    <w:rsid w:val="6CE32BE3"/>
    <w:rsid w:val="6CE76A77"/>
    <w:rsid w:val="6CF11037"/>
    <w:rsid w:val="6D5D0BE7"/>
    <w:rsid w:val="6D747CDF"/>
    <w:rsid w:val="6D851EEC"/>
    <w:rsid w:val="6DA305C4"/>
    <w:rsid w:val="6DAA1953"/>
    <w:rsid w:val="6DB16743"/>
    <w:rsid w:val="6DE01B8E"/>
    <w:rsid w:val="6E032E11"/>
    <w:rsid w:val="6E05302D"/>
    <w:rsid w:val="6E0C7F17"/>
    <w:rsid w:val="6E9475E3"/>
    <w:rsid w:val="6E9F3C9F"/>
    <w:rsid w:val="6EBA2157"/>
    <w:rsid w:val="6F5CE480"/>
    <w:rsid w:val="6F5F301C"/>
    <w:rsid w:val="6FD902CD"/>
    <w:rsid w:val="6FF43F53"/>
    <w:rsid w:val="700D2C72"/>
    <w:rsid w:val="701F74FE"/>
    <w:rsid w:val="70AC7CE0"/>
    <w:rsid w:val="70DA5067"/>
    <w:rsid w:val="711D793E"/>
    <w:rsid w:val="71204A76"/>
    <w:rsid w:val="71D5087F"/>
    <w:rsid w:val="72AB5194"/>
    <w:rsid w:val="73084911"/>
    <w:rsid w:val="73090EC9"/>
    <w:rsid w:val="731E2BC7"/>
    <w:rsid w:val="73234AF8"/>
    <w:rsid w:val="73467A28"/>
    <w:rsid w:val="735C552C"/>
    <w:rsid w:val="73926C0B"/>
    <w:rsid w:val="73F05BE5"/>
    <w:rsid w:val="743C1F26"/>
    <w:rsid w:val="7480205F"/>
    <w:rsid w:val="748A1F20"/>
    <w:rsid w:val="74973049"/>
    <w:rsid w:val="74B048C4"/>
    <w:rsid w:val="74B11819"/>
    <w:rsid w:val="74DA48CB"/>
    <w:rsid w:val="74DC4AE7"/>
    <w:rsid w:val="74EFAB8C"/>
    <w:rsid w:val="753D4E5A"/>
    <w:rsid w:val="754D7793"/>
    <w:rsid w:val="759915A9"/>
    <w:rsid w:val="75A5137D"/>
    <w:rsid w:val="75E55C1E"/>
    <w:rsid w:val="76041D8F"/>
    <w:rsid w:val="762A3631"/>
    <w:rsid w:val="765F1837"/>
    <w:rsid w:val="76685F07"/>
    <w:rsid w:val="76DD4B47"/>
    <w:rsid w:val="77585F7B"/>
    <w:rsid w:val="7760D300"/>
    <w:rsid w:val="778F832B"/>
    <w:rsid w:val="779C055E"/>
    <w:rsid w:val="78911745"/>
    <w:rsid w:val="78BB0562"/>
    <w:rsid w:val="78D45AD6"/>
    <w:rsid w:val="79144124"/>
    <w:rsid w:val="79556C16"/>
    <w:rsid w:val="796B643A"/>
    <w:rsid w:val="79CE0777"/>
    <w:rsid w:val="79D35D8D"/>
    <w:rsid w:val="79DE6354"/>
    <w:rsid w:val="79DF9A0C"/>
    <w:rsid w:val="7A272470"/>
    <w:rsid w:val="7A8D23E0"/>
    <w:rsid w:val="7AC7C5BD"/>
    <w:rsid w:val="7ADF2904"/>
    <w:rsid w:val="7B5C3128"/>
    <w:rsid w:val="7B9D48A5"/>
    <w:rsid w:val="7B9E1A50"/>
    <w:rsid w:val="7BD93132"/>
    <w:rsid w:val="7BF5023D"/>
    <w:rsid w:val="7C0641F8"/>
    <w:rsid w:val="7C6F62F6"/>
    <w:rsid w:val="7C920181"/>
    <w:rsid w:val="7CA7588C"/>
    <w:rsid w:val="7CCD87B0"/>
    <w:rsid w:val="7CD6006E"/>
    <w:rsid w:val="7D2B4FB3"/>
    <w:rsid w:val="7D5316BF"/>
    <w:rsid w:val="7D536578"/>
    <w:rsid w:val="7D8F646F"/>
    <w:rsid w:val="7DA243F4"/>
    <w:rsid w:val="7DA40413"/>
    <w:rsid w:val="7DA97531"/>
    <w:rsid w:val="7DE762AB"/>
    <w:rsid w:val="7E1A3F8B"/>
    <w:rsid w:val="7EB443DF"/>
    <w:rsid w:val="7ED4682F"/>
    <w:rsid w:val="7F7E5433"/>
    <w:rsid w:val="7F846F1D"/>
    <w:rsid w:val="7F8E2CC9"/>
    <w:rsid w:val="7FB74EB1"/>
    <w:rsid w:val="7FD6F4C9"/>
    <w:rsid w:val="8EF6281F"/>
    <w:rsid w:val="94FD683A"/>
    <w:rsid w:val="9D7E5786"/>
    <w:rsid w:val="9F67B044"/>
    <w:rsid w:val="A3F9B29D"/>
    <w:rsid w:val="A7F7C936"/>
    <w:rsid w:val="ABFFA1A9"/>
    <w:rsid w:val="AD6A5CF4"/>
    <w:rsid w:val="AF4FA1A9"/>
    <w:rsid w:val="AF9FC224"/>
    <w:rsid w:val="B725C4AF"/>
    <w:rsid w:val="B7AE24B1"/>
    <w:rsid w:val="B917D3F3"/>
    <w:rsid w:val="BACF9C5D"/>
    <w:rsid w:val="BADE3E27"/>
    <w:rsid w:val="BDFFEEDB"/>
    <w:rsid w:val="BEFF7CBC"/>
    <w:rsid w:val="BF47382C"/>
    <w:rsid w:val="CFDF7847"/>
    <w:rsid w:val="D3B02C09"/>
    <w:rsid w:val="D7BB62F4"/>
    <w:rsid w:val="D9EECA2B"/>
    <w:rsid w:val="DBFF1B2F"/>
    <w:rsid w:val="DDFFA6EE"/>
    <w:rsid w:val="DF4EFB98"/>
    <w:rsid w:val="DFB53AE4"/>
    <w:rsid w:val="DFEF884A"/>
    <w:rsid w:val="DFFD3349"/>
    <w:rsid w:val="E676BCED"/>
    <w:rsid w:val="E77F0C78"/>
    <w:rsid w:val="E7FB5ACE"/>
    <w:rsid w:val="E95E0999"/>
    <w:rsid w:val="EBB5ED65"/>
    <w:rsid w:val="EBFBB34E"/>
    <w:rsid w:val="ECF2CF06"/>
    <w:rsid w:val="ED333957"/>
    <w:rsid w:val="EEFAD1D1"/>
    <w:rsid w:val="EF76F6DF"/>
    <w:rsid w:val="EF978044"/>
    <w:rsid w:val="EF9FC26D"/>
    <w:rsid w:val="EFEF50E1"/>
    <w:rsid w:val="F3C77621"/>
    <w:rsid w:val="F6FB2655"/>
    <w:rsid w:val="F7F9E5C2"/>
    <w:rsid w:val="F99F80D8"/>
    <w:rsid w:val="F9EF723C"/>
    <w:rsid w:val="FB7ECB58"/>
    <w:rsid w:val="FB7F0C9D"/>
    <w:rsid w:val="FBBF47AC"/>
    <w:rsid w:val="FD9FDE27"/>
    <w:rsid w:val="FDDEE255"/>
    <w:rsid w:val="FDEF9904"/>
    <w:rsid w:val="FEFDAAAF"/>
    <w:rsid w:val="FF7B9CA6"/>
    <w:rsid w:val="FF7FB38E"/>
    <w:rsid w:val="FF9A4811"/>
    <w:rsid w:val="FFD5B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kern w:val="0"/>
      <w:sz w:val="28"/>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val="en-US" w:eastAsia="en-US" w:bidi="ar-SA"/>
    </w:rPr>
  </w:style>
  <w:style w:type="paragraph" w:styleId="3">
    <w:name w:val="toc 5"/>
    <w:basedOn w:val="1"/>
    <w:next w:val="1"/>
    <w:qFormat/>
    <w:uiPriority w:val="0"/>
    <w:pPr>
      <w:ind w:left="1680" w:leftChars="8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customStyle="1" w:styleId="9">
    <w:name w:val="列出段落1"/>
    <w:basedOn w:val="1"/>
    <w:qFormat/>
    <w:uiPriority w:val="34"/>
    <w:pPr>
      <w:ind w:firstLine="420" w:firstLineChars="200"/>
    </w:pPr>
  </w:style>
  <w:style w:type="paragraph" w:styleId="10">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12503</Words>
  <Characters>13392</Characters>
  <Lines>0</Lines>
  <Paragraphs>0</Paragraphs>
  <TotalTime>31</TotalTime>
  <ScaleCrop>false</ScaleCrop>
  <LinksUpToDate>false</LinksUpToDate>
  <CharactersWithSpaces>13833</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2024-03-19T16:36:00Z</dcterms:created>
  <dc:creator>Administrator</dc:creator>
  <cp:lastModifiedBy>TCB003</cp:lastModifiedBy>
  <dcterms:modified xsi:type="dcterms:W3CDTF">2024-06-20T10:09:46Z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BC7A4569F55B4C2CB98C4E47ECD082E9_13</vt:lpwstr>
  </property>
</Properties>
</file>