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F166" w14:textId="77777777" w:rsidR="0075221D" w:rsidRDefault="0075221D">
      <w:pPr>
        <w:pStyle w:val="Default"/>
        <w:jc w:val="center"/>
        <w:rPr>
          <w:color w:val="000000" w:themeColor="text1"/>
          <w:sz w:val="56"/>
          <w:szCs w:val="56"/>
        </w:rPr>
      </w:pPr>
    </w:p>
    <w:p w14:paraId="0ABCB3B8" w14:textId="77777777" w:rsidR="0075221D" w:rsidRDefault="0075221D">
      <w:pPr>
        <w:pStyle w:val="Default"/>
        <w:jc w:val="center"/>
        <w:rPr>
          <w:color w:val="000000" w:themeColor="text1"/>
          <w:sz w:val="56"/>
          <w:szCs w:val="56"/>
        </w:rPr>
      </w:pPr>
    </w:p>
    <w:p w14:paraId="04474F46" w14:textId="77777777" w:rsidR="0075221D" w:rsidRDefault="0075221D">
      <w:pPr>
        <w:pStyle w:val="Default"/>
        <w:jc w:val="center"/>
        <w:rPr>
          <w:color w:val="000000" w:themeColor="text1"/>
          <w:sz w:val="84"/>
          <w:szCs w:val="84"/>
        </w:rPr>
      </w:pPr>
    </w:p>
    <w:p w14:paraId="3EB8D119" w14:textId="77777777" w:rsidR="0075221D" w:rsidRDefault="0075221D">
      <w:pPr>
        <w:pStyle w:val="Default"/>
        <w:jc w:val="center"/>
        <w:rPr>
          <w:color w:val="000000" w:themeColor="text1"/>
          <w:sz w:val="84"/>
          <w:szCs w:val="84"/>
        </w:rPr>
      </w:pPr>
    </w:p>
    <w:p w14:paraId="533A8D6A" w14:textId="77777777" w:rsidR="0075221D" w:rsidRDefault="00000000">
      <w:pPr>
        <w:pStyle w:val="Default"/>
        <w:jc w:val="center"/>
        <w:rPr>
          <w:b/>
          <w:bCs/>
          <w:color w:val="000000" w:themeColor="text1"/>
          <w:sz w:val="52"/>
          <w:szCs w:val="52"/>
        </w:rPr>
      </w:pPr>
      <w:r>
        <w:rPr>
          <w:rFonts w:hint="eastAsia"/>
          <w:b/>
          <w:bCs/>
          <w:color w:val="000000" w:themeColor="text1"/>
          <w:sz w:val="52"/>
          <w:szCs w:val="52"/>
        </w:rPr>
        <w:t>2021年度</w:t>
      </w:r>
    </w:p>
    <w:p w14:paraId="084FF37A" w14:textId="77777777" w:rsidR="0075221D" w:rsidRDefault="00000000">
      <w:pPr>
        <w:pStyle w:val="Default"/>
        <w:jc w:val="center"/>
        <w:rPr>
          <w:b/>
          <w:bCs/>
          <w:color w:val="000000" w:themeColor="text1"/>
          <w:sz w:val="52"/>
          <w:szCs w:val="52"/>
        </w:rPr>
      </w:pPr>
      <w:r>
        <w:rPr>
          <w:rFonts w:hint="eastAsia"/>
          <w:b/>
          <w:bCs/>
          <w:color w:val="000000" w:themeColor="text1"/>
          <w:sz w:val="52"/>
          <w:szCs w:val="52"/>
        </w:rPr>
        <w:t>岳阳市城市管理综合行政执法支队</w:t>
      </w:r>
    </w:p>
    <w:p w14:paraId="7E3C4C3C" w14:textId="77777777" w:rsidR="0075221D" w:rsidRDefault="00000000">
      <w:pPr>
        <w:pStyle w:val="Default"/>
        <w:jc w:val="center"/>
        <w:rPr>
          <w:b/>
          <w:bCs/>
          <w:color w:val="000000" w:themeColor="text1"/>
          <w:sz w:val="52"/>
          <w:szCs w:val="52"/>
        </w:rPr>
      </w:pPr>
      <w:r>
        <w:rPr>
          <w:rFonts w:hint="eastAsia"/>
          <w:b/>
          <w:bCs/>
          <w:color w:val="000000" w:themeColor="text1"/>
          <w:sz w:val="52"/>
          <w:szCs w:val="52"/>
        </w:rPr>
        <w:t>部门决算</w:t>
      </w:r>
    </w:p>
    <w:p w14:paraId="6A458D7C" w14:textId="77777777" w:rsidR="0075221D" w:rsidRDefault="0075221D">
      <w:pPr>
        <w:pStyle w:val="Default"/>
        <w:jc w:val="center"/>
        <w:rPr>
          <w:color w:val="000000" w:themeColor="text1"/>
          <w:sz w:val="56"/>
          <w:szCs w:val="56"/>
        </w:rPr>
      </w:pPr>
    </w:p>
    <w:p w14:paraId="0951B946" w14:textId="77777777" w:rsidR="0075221D" w:rsidRDefault="0075221D">
      <w:pPr>
        <w:pStyle w:val="Default"/>
        <w:jc w:val="center"/>
        <w:rPr>
          <w:color w:val="000000" w:themeColor="text1"/>
          <w:sz w:val="56"/>
          <w:szCs w:val="56"/>
        </w:rPr>
      </w:pPr>
    </w:p>
    <w:p w14:paraId="1F3D6323" w14:textId="77777777" w:rsidR="0075221D" w:rsidRDefault="0075221D">
      <w:pPr>
        <w:pStyle w:val="Default"/>
        <w:jc w:val="center"/>
        <w:rPr>
          <w:color w:val="000000" w:themeColor="text1"/>
          <w:sz w:val="56"/>
          <w:szCs w:val="56"/>
        </w:rPr>
      </w:pPr>
    </w:p>
    <w:p w14:paraId="1110EBBE" w14:textId="77777777" w:rsidR="0075221D" w:rsidRDefault="0075221D">
      <w:pPr>
        <w:pStyle w:val="Default"/>
        <w:jc w:val="center"/>
        <w:rPr>
          <w:color w:val="000000" w:themeColor="text1"/>
          <w:sz w:val="56"/>
          <w:szCs w:val="56"/>
        </w:rPr>
      </w:pPr>
    </w:p>
    <w:p w14:paraId="51308A13" w14:textId="77777777" w:rsidR="0075221D" w:rsidRDefault="0075221D">
      <w:pPr>
        <w:pStyle w:val="Default"/>
        <w:jc w:val="center"/>
        <w:rPr>
          <w:color w:val="000000" w:themeColor="text1"/>
          <w:sz w:val="32"/>
          <w:szCs w:val="32"/>
        </w:rPr>
      </w:pPr>
    </w:p>
    <w:p w14:paraId="4E2DE1A1" w14:textId="77777777" w:rsidR="0075221D" w:rsidRDefault="0075221D">
      <w:pPr>
        <w:pStyle w:val="Default"/>
        <w:jc w:val="center"/>
        <w:rPr>
          <w:color w:val="000000" w:themeColor="text1"/>
          <w:sz w:val="32"/>
          <w:szCs w:val="32"/>
        </w:rPr>
      </w:pPr>
    </w:p>
    <w:p w14:paraId="5135B873" w14:textId="77777777" w:rsidR="0075221D" w:rsidRDefault="0075221D">
      <w:pPr>
        <w:pStyle w:val="Default"/>
        <w:jc w:val="center"/>
        <w:rPr>
          <w:color w:val="000000" w:themeColor="text1"/>
          <w:sz w:val="32"/>
          <w:szCs w:val="32"/>
        </w:rPr>
      </w:pPr>
    </w:p>
    <w:p w14:paraId="14F20140" w14:textId="77777777" w:rsidR="0075221D" w:rsidRDefault="0075221D">
      <w:pPr>
        <w:pStyle w:val="Default"/>
        <w:spacing w:line="480" w:lineRule="exact"/>
        <w:jc w:val="center"/>
        <w:rPr>
          <w:b/>
          <w:color w:val="000000" w:themeColor="text1"/>
          <w:sz w:val="36"/>
          <w:szCs w:val="28"/>
        </w:rPr>
      </w:pPr>
    </w:p>
    <w:p w14:paraId="2326B630" w14:textId="77777777" w:rsidR="0075221D" w:rsidRDefault="0075221D">
      <w:pPr>
        <w:pStyle w:val="Default"/>
        <w:spacing w:line="480" w:lineRule="exact"/>
        <w:jc w:val="center"/>
        <w:rPr>
          <w:b/>
          <w:color w:val="000000" w:themeColor="text1"/>
          <w:sz w:val="36"/>
          <w:szCs w:val="28"/>
        </w:rPr>
      </w:pPr>
    </w:p>
    <w:p w14:paraId="1F282349" w14:textId="77777777" w:rsidR="0075221D" w:rsidRDefault="0075221D">
      <w:pPr>
        <w:pStyle w:val="Default"/>
        <w:spacing w:line="480" w:lineRule="exact"/>
        <w:jc w:val="center"/>
        <w:rPr>
          <w:b/>
          <w:color w:val="000000" w:themeColor="text1"/>
          <w:sz w:val="36"/>
          <w:szCs w:val="28"/>
        </w:rPr>
      </w:pPr>
    </w:p>
    <w:p w14:paraId="61DE64CF" w14:textId="77777777" w:rsidR="0075221D" w:rsidRDefault="0075221D">
      <w:pPr>
        <w:pStyle w:val="Default"/>
        <w:spacing w:line="480" w:lineRule="exact"/>
        <w:jc w:val="center"/>
        <w:rPr>
          <w:b/>
          <w:color w:val="000000" w:themeColor="text1"/>
          <w:sz w:val="36"/>
          <w:szCs w:val="28"/>
        </w:rPr>
      </w:pPr>
    </w:p>
    <w:p w14:paraId="2BCE495E" w14:textId="77777777" w:rsidR="0075221D" w:rsidRDefault="0075221D">
      <w:pPr>
        <w:pStyle w:val="Default"/>
        <w:spacing w:line="480" w:lineRule="exact"/>
        <w:jc w:val="center"/>
        <w:rPr>
          <w:b/>
          <w:color w:val="000000" w:themeColor="text1"/>
          <w:sz w:val="36"/>
          <w:szCs w:val="28"/>
        </w:rPr>
      </w:pPr>
    </w:p>
    <w:p w14:paraId="23E171C5" w14:textId="77777777" w:rsidR="0075221D" w:rsidRDefault="00000000">
      <w:pPr>
        <w:pStyle w:val="Default"/>
        <w:spacing w:line="480" w:lineRule="exact"/>
        <w:jc w:val="center"/>
        <w:rPr>
          <w:b/>
          <w:color w:val="000000" w:themeColor="text1"/>
          <w:sz w:val="36"/>
          <w:szCs w:val="28"/>
        </w:rPr>
      </w:pPr>
      <w:r>
        <w:rPr>
          <w:rFonts w:hint="eastAsia"/>
          <w:b/>
          <w:color w:val="000000" w:themeColor="text1"/>
          <w:sz w:val="36"/>
          <w:szCs w:val="28"/>
        </w:rPr>
        <w:lastRenderedPageBreak/>
        <w:t>目录</w:t>
      </w:r>
    </w:p>
    <w:p w14:paraId="1AD64525" w14:textId="77777777" w:rsidR="0075221D" w:rsidRDefault="00000000">
      <w:pPr>
        <w:pStyle w:val="Default"/>
        <w:jc w:val="both"/>
        <w:rPr>
          <w:rFonts w:ascii="仿宋_GB2312" w:hAnsi="仿宋_GB2312" w:cs="仿宋_GB2312"/>
          <w:b/>
          <w:color w:val="000000" w:themeColor="text1"/>
          <w:sz w:val="28"/>
          <w:szCs w:val="28"/>
        </w:rPr>
      </w:pPr>
      <w:r>
        <w:rPr>
          <w:rFonts w:hint="eastAsia"/>
          <w:b/>
          <w:color w:val="000000" w:themeColor="text1"/>
          <w:sz w:val="28"/>
          <w:szCs w:val="28"/>
        </w:rPr>
        <w:t xml:space="preserve">第一部分  </w:t>
      </w:r>
      <w:r>
        <w:rPr>
          <w:rFonts w:hAnsi="黑体" w:hint="eastAsia"/>
          <w:b/>
          <w:bCs/>
          <w:color w:val="000000" w:themeColor="text1"/>
          <w:sz w:val="28"/>
          <w:szCs w:val="28"/>
        </w:rPr>
        <w:t>岳阳市城市管理综合行政执法支队</w:t>
      </w:r>
      <w:r>
        <w:rPr>
          <w:rFonts w:hint="eastAsia"/>
          <w:b/>
          <w:color w:val="000000" w:themeColor="text1"/>
          <w:sz w:val="28"/>
          <w:szCs w:val="28"/>
        </w:rPr>
        <w:t>概况</w:t>
      </w:r>
    </w:p>
    <w:p w14:paraId="29276739"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一、部门职责</w:t>
      </w:r>
    </w:p>
    <w:p w14:paraId="67AFB3D2"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二、机构设置</w:t>
      </w:r>
      <w:r>
        <w:rPr>
          <w:rFonts w:asciiTheme="minorEastAsia" w:eastAsiaTheme="minorEastAsia" w:hAnsiTheme="minorEastAsia" w:cs="仿宋_GB2312" w:hint="eastAsia"/>
          <w:color w:val="000000" w:themeColor="text1"/>
          <w:sz w:val="28"/>
          <w:szCs w:val="28"/>
        </w:rPr>
        <w:t>及决算单位构成</w:t>
      </w:r>
    </w:p>
    <w:p w14:paraId="5A926F61" w14:textId="77777777" w:rsidR="0075221D" w:rsidRDefault="00000000">
      <w:pPr>
        <w:pStyle w:val="Default"/>
        <w:spacing w:line="480" w:lineRule="exact"/>
        <w:rPr>
          <w:rFonts w:ascii="仿宋_GB2312" w:hAnsi="仿宋_GB2312" w:cs="仿宋_GB2312"/>
          <w:b/>
          <w:color w:val="000000" w:themeColor="text1"/>
          <w:sz w:val="28"/>
          <w:szCs w:val="28"/>
        </w:rPr>
      </w:pPr>
      <w:r>
        <w:rPr>
          <w:rFonts w:hAnsi="仿宋_GB2312" w:hint="eastAsia"/>
          <w:b/>
          <w:color w:val="000000" w:themeColor="text1"/>
          <w:sz w:val="28"/>
          <w:szCs w:val="28"/>
        </w:rPr>
        <w:t xml:space="preserve">第二部分  </w:t>
      </w:r>
      <w:r>
        <w:rPr>
          <w:rFonts w:hAnsi="仿宋_GB2312"/>
          <w:b/>
          <w:color w:val="000000" w:themeColor="text1"/>
          <w:sz w:val="28"/>
          <w:szCs w:val="28"/>
        </w:rPr>
        <w:t>20</w:t>
      </w:r>
      <w:r>
        <w:rPr>
          <w:rFonts w:hAnsi="仿宋_GB2312" w:hint="eastAsia"/>
          <w:b/>
          <w:color w:val="000000" w:themeColor="text1"/>
          <w:sz w:val="28"/>
          <w:szCs w:val="28"/>
        </w:rPr>
        <w:t>21年度部门决算表</w:t>
      </w:r>
    </w:p>
    <w:p w14:paraId="3EC7D240"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一、收入支出决算总表</w:t>
      </w:r>
    </w:p>
    <w:p w14:paraId="12D9BE50"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二、收入决算表</w:t>
      </w:r>
    </w:p>
    <w:p w14:paraId="4666CD77"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三、支出决算表</w:t>
      </w:r>
    </w:p>
    <w:p w14:paraId="70E5363A"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四、财政拨款收入支出决算总表</w:t>
      </w:r>
    </w:p>
    <w:p w14:paraId="245E53C5"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五、一般公共预算财政拨款支出决算表</w:t>
      </w:r>
    </w:p>
    <w:p w14:paraId="51C07A6B"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六、一般公共预算财政拨款基本支出决算</w:t>
      </w:r>
      <w:r>
        <w:rPr>
          <w:rFonts w:asciiTheme="minorEastAsia" w:eastAsiaTheme="minorEastAsia" w:hAnsiTheme="minorEastAsia" w:cs="仿宋_GB2312" w:hint="eastAsia"/>
          <w:color w:val="000000" w:themeColor="text1"/>
          <w:sz w:val="28"/>
          <w:szCs w:val="28"/>
        </w:rPr>
        <w:t>明细</w:t>
      </w:r>
      <w:r>
        <w:rPr>
          <w:rFonts w:asciiTheme="minorEastAsia" w:eastAsiaTheme="minorEastAsia" w:hAnsiTheme="minorEastAsia" w:cs="仿宋_GB2312"/>
          <w:color w:val="000000" w:themeColor="text1"/>
          <w:sz w:val="28"/>
          <w:szCs w:val="28"/>
        </w:rPr>
        <w:t>表</w:t>
      </w:r>
    </w:p>
    <w:p w14:paraId="60252A25"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七、一般公共预算财政拨款“三公”经费支出决算表</w:t>
      </w:r>
    </w:p>
    <w:p w14:paraId="0CCEAE07"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八、政府性基金预算财政拨款收入支出决算表</w:t>
      </w:r>
    </w:p>
    <w:p w14:paraId="6FF6FB30"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hint="eastAsia"/>
          <w:color w:val="000000" w:themeColor="text1"/>
          <w:sz w:val="28"/>
          <w:szCs w:val="28"/>
        </w:rPr>
        <w:t>九、国有资本经营预算财政拨款支出决算表</w:t>
      </w:r>
    </w:p>
    <w:p w14:paraId="710F4690" w14:textId="77777777" w:rsidR="0075221D" w:rsidRDefault="00000000">
      <w:pPr>
        <w:pStyle w:val="Default"/>
        <w:spacing w:line="480" w:lineRule="exact"/>
        <w:rPr>
          <w:rFonts w:ascii="仿宋_GB2312" w:hAnsi="仿宋_GB2312" w:cs="仿宋_GB2312"/>
          <w:b/>
          <w:color w:val="000000" w:themeColor="text1"/>
          <w:sz w:val="28"/>
          <w:szCs w:val="28"/>
        </w:rPr>
      </w:pPr>
      <w:r>
        <w:rPr>
          <w:rFonts w:hAnsi="仿宋_GB2312" w:hint="eastAsia"/>
          <w:b/>
          <w:color w:val="000000" w:themeColor="text1"/>
          <w:sz w:val="28"/>
          <w:szCs w:val="28"/>
        </w:rPr>
        <w:t xml:space="preserve">第三部分  </w:t>
      </w:r>
      <w:r>
        <w:rPr>
          <w:rFonts w:hAnsi="仿宋_GB2312"/>
          <w:b/>
          <w:color w:val="000000" w:themeColor="text1"/>
          <w:sz w:val="28"/>
          <w:szCs w:val="28"/>
        </w:rPr>
        <w:t>20</w:t>
      </w:r>
      <w:r>
        <w:rPr>
          <w:rFonts w:hAnsi="仿宋_GB2312" w:hint="eastAsia"/>
          <w:b/>
          <w:color w:val="000000" w:themeColor="text1"/>
          <w:sz w:val="28"/>
          <w:szCs w:val="28"/>
        </w:rPr>
        <w:t>21年度部门决算情况说明</w:t>
      </w:r>
    </w:p>
    <w:p w14:paraId="7212F254" w14:textId="77777777" w:rsidR="0075221D" w:rsidRDefault="00000000">
      <w:pPr>
        <w:pStyle w:val="Default"/>
        <w:spacing w:line="480" w:lineRule="exact"/>
        <w:ind w:firstLineChars="250" w:firstLine="700"/>
        <w:rPr>
          <w:rFonts w:asciiTheme="minorEastAsia" w:eastAsiaTheme="minorEastAsia" w:hAnsiTheme="minorEastAsia" w:cs="仿宋_GB2312"/>
          <w:color w:val="000000" w:themeColor="text1"/>
          <w:sz w:val="28"/>
          <w:szCs w:val="28"/>
        </w:rPr>
      </w:pPr>
      <w:r>
        <w:rPr>
          <w:rFonts w:asciiTheme="minorEastAsia" w:eastAsiaTheme="minorEastAsia" w:hAnsiTheme="minorEastAsia" w:cs="仿宋_GB2312"/>
          <w:color w:val="000000" w:themeColor="text1"/>
          <w:sz w:val="28"/>
          <w:szCs w:val="28"/>
        </w:rPr>
        <w:t>一、收入支出决算总体情况说明</w:t>
      </w:r>
    </w:p>
    <w:p w14:paraId="5BE76FA2" w14:textId="77777777" w:rsidR="0075221D" w:rsidRDefault="00000000">
      <w:pPr>
        <w:spacing w:line="480" w:lineRule="exact"/>
        <w:ind w:firstLineChars="250" w:firstLine="700"/>
        <w:jc w:val="left"/>
        <w:rPr>
          <w:rFonts w:ascii="仿宋_GB2312" w:hAnsi="仿宋_GB2312" w:cs="仿宋_GB2312"/>
          <w:color w:val="000000" w:themeColor="text1"/>
          <w:sz w:val="28"/>
          <w:szCs w:val="28"/>
        </w:rPr>
      </w:pPr>
      <w:r>
        <w:rPr>
          <w:rFonts w:ascii="仿宋_GB2312" w:hAnsi="仿宋_GB2312" w:cs="仿宋_GB2312"/>
          <w:color w:val="000000" w:themeColor="text1"/>
          <w:sz w:val="28"/>
          <w:szCs w:val="28"/>
        </w:rPr>
        <w:t>二、收入决算情况说明</w:t>
      </w:r>
    </w:p>
    <w:p w14:paraId="58B28213"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三、支出决算情况说明</w:t>
      </w:r>
    </w:p>
    <w:p w14:paraId="53350624"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四、财政拨款收入支出决算总体情况说明</w:t>
      </w:r>
    </w:p>
    <w:p w14:paraId="34397ADB"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五、一般公共预算财政拨款支出决算情况说明</w:t>
      </w:r>
    </w:p>
    <w:p w14:paraId="1C2AECFE"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六、一般公共预算财政拨款基本支出决算情况说明</w:t>
      </w:r>
    </w:p>
    <w:p w14:paraId="35D2800D"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color w:val="000000" w:themeColor="text1"/>
          <w:kern w:val="0"/>
          <w:sz w:val="28"/>
          <w:szCs w:val="28"/>
        </w:rPr>
        <w:t>七、一般公共预算财政拨款</w:t>
      </w:r>
      <w:r>
        <w:rPr>
          <w:rFonts w:ascii="仿宋_GB2312" w:hAnsi="仿宋_GB2312" w:cs="仿宋_GB2312" w:hint="eastAsia"/>
          <w:color w:val="000000" w:themeColor="text1"/>
          <w:kern w:val="0"/>
          <w:sz w:val="28"/>
          <w:szCs w:val="28"/>
        </w:rPr>
        <w:t>“</w:t>
      </w:r>
      <w:r>
        <w:rPr>
          <w:rFonts w:ascii="仿宋_GB2312" w:hAnsi="仿宋_GB2312" w:cs="仿宋_GB2312"/>
          <w:color w:val="000000" w:themeColor="text1"/>
          <w:kern w:val="0"/>
          <w:sz w:val="28"/>
          <w:szCs w:val="28"/>
        </w:rPr>
        <w:t>三公</w:t>
      </w:r>
      <w:r>
        <w:rPr>
          <w:rFonts w:ascii="仿宋_GB2312" w:hAnsi="仿宋_GB2312" w:cs="仿宋_GB2312" w:hint="eastAsia"/>
          <w:color w:val="000000" w:themeColor="text1"/>
          <w:kern w:val="0"/>
          <w:sz w:val="28"/>
          <w:szCs w:val="28"/>
        </w:rPr>
        <w:t>”</w:t>
      </w:r>
      <w:r>
        <w:rPr>
          <w:rFonts w:ascii="仿宋_GB2312" w:hAnsi="仿宋_GB2312" w:cs="仿宋_GB2312"/>
          <w:color w:val="000000" w:themeColor="text1"/>
          <w:kern w:val="0"/>
          <w:sz w:val="28"/>
          <w:szCs w:val="28"/>
        </w:rPr>
        <w:t>经费支出决算情况说明</w:t>
      </w:r>
    </w:p>
    <w:p w14:paraId="678739E7"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八</w:t>
      </w:r>
      <w:r>
        <w:rPr>
          <w:rFonts w:ascii="仿宋_GB2312" w:hAnsi="仿宋_GB2312" w:cs="仿宋_GB2312"/>
          <w:color w:val="000000" w:themeColor="text1"/>
          <w:kern w:val="0"/>
          <w:sz w:val="28"/>
          <w:szCs w:val="28"/>
        </w:rPr>
        <w:t>、</w:t>
      </w:r>
      <w:r>
        <w:rPr>
          <w:rFonts w:ascii="仿宋_GB2312" w:hAnsi="仿宋_GB2312" w:cs="仿宋_GB2312" w:hint="eastAsia"/>
          <w:color w:val="000000" w:themeColor="text1"/>
          <w:kern w:val="0"/>
          <w:sz w:val="28"/>
          <w:szCs w:val="28"/>
        </w:rPr>
        <w:t>政府性基金预算收入支出决算情况</w:t>
      </w:r>
    </w:p>
    <w:p w14:paraId="49C54230"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九</w:t>
      </w:r>
      <w:r>
        <w:rPr>
          <w:rFonts w:ascii="仿宋_GB2312" w:hAnsi="仿宋_GB2312" w:cs="仿宋_GB2312"/>
          <w:color w:val="000000" w:themeColor="text1"/>
          <w:kern w:val="0"/>
          <w:sz w:val="28"/>
          <w:szCs w:val="28"/>
        </w:rPr>
        <w:t>、</w:t>
      </w:r>
      <w:r>
        <w:rPr>
          <w:rFonts w:asciiTheme="minorEastAsia" w:hAnsiTheme="minorEastAsia" w:cs="仿宋_GB2312" w:hint="eastAsia"/>
          <w:color w:val="000000" w:themeColor="text1"/>
          <w:sz w:val="28"/>
          <w:szCs w:val="28"/>
        </w:rPr>
        <w:t>国有资本经营预算财政拨款支出决算情况</w:t>
      </w:r>
    </w:p>
    <w:p w14:paraId="2F88FB2A"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十、机关运行经费支出说明</w:t>
      </w:r>
    </w:p>
    <w:p w14:paraId="351837ED"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kern w:val="0"/>
          <w:sz w:val="28"/>
          <w:szCs w:val="28"/>
        </w:rPr>
      </w:pPr>
      <w:r>
        <w:rPr>
          <w:rFonts w:ascii="仿宋_GB2312" w:hAnsi="仿宋_GB2312" w:cs="仿宋_GB2312" w:hint="eastAsia"/>
          <w:color w:val="000000" w:themeColor="text1"/>
          <w:kern w:val="0"/>
          <w:sz w:val="28"/>
          <w:szCs w:val="28"/>
        </w:rPr>
        <w:t>十一、一般性支出情况说明</w:t>
      </w:r>
    </w:p>
    <w:p w14:paraId="7D264561" w14:textId="77777777" w:rsidR="0075221D" w:rsidRDefault="00000000">
      <w:pPr>
        <w:autoSpaceDE w:val="0"/>
        <w:autoSpaceDN w:val="0"/>
        <w:adjustRightInd w:val="0"/>
        <w:spacing w:line="480" w:lineRule="exact"/>
        <w:ind w:firstLineChars="250" w:firstLine="700"/>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十二、</w:t>
      </w:r>
      <w:r>
        <w:rPr>
          <w:rFonts w:ascii="仿宋_GB2312" w:hAnsi="仿宋_GB2312" w:cs="仿宋_GB2312" w:hint="eastAsia"/>
          <w:color w:val="000000" w:themeColor="text1"/>
          <w:kern w:val="0"/>
          <w:sz w:val="28"/>
          <w:szCs w:val="28"/>
        </w:rPr>
        <w:t>政府采购支出说明</w:t>
      </w:r>
    </w:p>
    <w:p w14:paraId="4040829D" w14:textId="77777777" w:rsidR="0075221D" w:rsidRDefault="00000000">
      <w:pPr>
        <w:pStyle w:val="Default"/>
        <w:spacing w:line="480" w:lineRule="exact"/>
        <w:ind w:firstLineChars="250" w:firstLine="700"/>
        <w:rPr>
          <w:rFonts w:ascii="仿宋_GB2312" w:eastAsiaTheme="minorEastAsia" w:hAnsi="仿宋_GB2312" w:cs="仿宋_GB2312"/>
          <w:color w:val="000000" w:themeColor="text1"/>
          <w:sz w:val="28"/>
          <w:szCs w:val="28"/>
        </w:rPr>
      </w:pPr>
      <w:r>
        <w:rPr>
          <w:rFonts w:ascii="仿宋_GB2312" w:eastAsiaTheme="minorEastAsia" w:hAnsi="仿宋_GB2312" w:cs="仿宋_GB2312" w:hint="eastAsia"/>
          <w:color w:val="000000" w:themeColor="text1"/>
          <w:sz w:val="28"/>
          <w:szCs w:val="28"/>
        </w:rPr>
        <w:t>十三、国有资产占用情况说明</w:t>
      </w:r>
    </w:p>
    <w:p w14:paraId="05DF9BED" w14:textId="77777777" w:rsidR="0075221D" w:rsidRDefault="00000000">
      <w:pPr>
        <w:pStyle w:val="Default"/>
        <w:spacing w:line="480" w:lineRule="exact"/>
        <w:ind w:firstLineChars="250" w:firstLine="700"/>
        <w:rPr>
          <w:rFonts w:ascii="仿宋_GB2312" w:eastAsiaTheme="minorEastAsia" w:hAnsi="仿宋_GB2312" w:cs="仿宋_GB2312"/>
          <w:color w:val="000000" w:themeColor="text1"/>
          <w:sz w:val="28"/>
          <w:szCs w:val="28"/>
        </w:rPr>
      </w:pPr>
      <w:r>
        <w:rPr>
          <w:rFonts w:ascii="仿宋_GB2312" w:eastAsiaTheme="minorEastAsia" w:hAnsi="仿宋_GB2312" w:cs="仿宋_GB2312" w:hint="eastAsia"/>
          <w:color w:val="000000" w:themeColor="text1"/>
          <w:sz w:val="28"/>
          <w:szCs w:val="28"/>
        </w:rPr>
        <w:t>十四、</w:t>
      </w:r>
      <w:r>
        <w:rPr>
          <w:rFonts w:asciiTheme="minorEastAsia" w:eastAsiaTheme="minorEastAsia" w:hAnsiTheme="minorEastAsia" w:cs="仿宋_GB2312" w:hint="eastAsia"/>
          <w:color w:val="000000" w:themeColor="text1"/>
          <w:sz w:val="28"/>
          <w:szCs w:val="28"/>
        </w:rPr>
        <w:t>2021年</w:t>
      </w:r>
      <w:r>
        <w:rPr>
          <w:rFonts w:ascii="仿宋_GB2312" w:eastAsiaTheme="minorEastAsia" w:hAnsi="仿宋_GB2312" w:cs="仿宋_GB2312" w:hint="eastAsia"/>
          <w:color w:val="000000" w:themeColor="text1"/>
          <w:sz w:val="28"/>
          <w:szCs w:val="28"/>
        </w:rPr>
        <w:t>度预算绩效情况说明</w:t>
      </w:r>
    </w:p>
    <w:p w14:paraId="6E6D933C" w14:textId="77777777" w:rsidR="0075221D" w:rsidRDefault="00000000">
      <w:pPr>
        <w:autoSpaceDE w:val="0"/>
        <w:autoSpaceDN w:val="0"/>
        <w:adjustRightInd w:val="0"/>
        <w:spacing w:line="480" w:lineRule="exact"/>
        <w:jc w:val="left"/>
        <w:rPr>
          <w:rFonts w:ascii="黑体" w:eastAsia="黑体" w:hAnsi="黑体" w:cs="黑体"/>
          <w:b/>
          <w:color w:val="000000" w:themeColor="text1"/>
          <w:kern w:val="0"/>
          <w:sz w:val="28"/>
          <w:szCs w:val="28"/>
        </w:rPr>
      </w:pPr>
      <w:r>
        <w:rPr>
          <w:rFonts w:ascii="黑体" w:eastAsia="黑体" w:hAnsi="黑体" w:cs="黑体"/>
          <w:b/>
          <w:color w:val="000000" w:themeColor="text1"/>
          <w:kern w:val="0"/>
          <w:sz w:val="28"/>
          <w:szCs w:val="28"/>
        </w:rPr>
        <w:t>第四部分</w:t>
      </w:r>
      <w:r>
        <w:rPr>
          <w:rFonts w:ascii="黑体" w:eastAsia="黑体" w:hAnsi="黑体" w:cs="黑体" w:hint="eastAsia"/>
          <w:b/>
          <w:color w:val="000000" w:themeColor="text1"/>
          <w:kern w:val="0"/>
          <w:sz w:val="28"/>
          <w:szCs w:val="28"/>
        </w:rPr>
        <w:t xml:space="preserve">  </w:t>
      </w:r>
      <w:r>
        <w:rPr>
          <w:rFonts w:ascii="黑体" w:eastAsia="黑体" w:hAnsi="黑体" w:cs="黑体"/>
          <w:b/>
          <w:color w:val="000000" w:themeColor="text1"/>
          <w:kern w:val="0"/>
          <w:sz w:val="28"/>
          <w:szCs w:val="28"/>
        </w:rPr>
        <w:t>名词解释</w:t>
      </w:r>
    </w:p>
    <w:p w14:paraId="7CB65137" w14:textId="77777777" w:rsidR="0075221D" w:rsidRDefault="00000000">
      <w:pPr>
        <w:autoSpaceDE w:val="0"/>
        <w:autoSpaceDN w:val="0"/>
        <w:adjustRightInd w:val="0"/>
        <w:spacing w:line="480" w:lineRule="exact"/>
        <w:jc w:val="left"/>
        <w:rPr>
          <w:rFonts w:ascii="黑体" w:eastAsia="黑体" w:hAnsi="黑体" w:cs="仿宋_GB2312"/>
          <w:b/>
          <w:color w:val="000000" w:themeColor="text1"/>
          <w:kern w:val="0"/>
          <w:sz w:val="28"/>
          <w:szCs w:val="28"/>
        </w:rPr>
      </w:pPr>
      <w:r>
        <w:rPr>
          <w:rFonts w:ascii="黑体" w:eastAsia="黑体" w:hAnsi="黑体" w:cs="黑体" w:hint="eastAsia"/>
          <w:b/>
          <w:color w:val="000000" w:themeColor="text1"/>
          <w:kern w:val="0"/>
          <w:sz w:val="28"/>
          <w:szCs w:val="28"/>
        </w:rPr>
        <w:t>第五部分  附件</w:t>
      </w:r>
    </w:p>
    <w:p w14:paraId="7956A4E3" w14:textId="77777777" w:rsidR="0075221D" w:rsidRDefault="00000000">
      <w:pPr>
        <w:pStyle w:val="Default"/>
        <w:jc w:val="center"/>
        <w:rPr>
          <w:rFonts w:hAnsi="黑体"/>
          <w:b/>
          <w:bCs/>
          <w:color w:val="000000" w:themeColor="text1"/>
          <w:sz w:val="52"/>
          <w:szCs w:val="52"/>
        </w:rPr>
      </w:pPr>
      <w:r>
        <w:rPr>
          <w:rFonts w:hAnsi="黑体" w:hint="eastAsia"/>
          <w:b/>
          <w:bCs/>
          <w:color w:val="000000" w:themeColor="text1"/>
          <w:sz w:val="52"/>
          <w:szCs w:val="52"/>
        </w:rPr>
        <w:lastRenderedPageBreak/>
        <w:t>第一部分</w:t>
      </w:r>
    </w:p>
    <w:p w14:paraId="0C0086B0" w14:textId="77777777" w:rsidR="0075221D" w:rsidRDefault="0075221D">
      <w:pPr>
        <w:pStyle w:val="Default"/>
        <w:jc w:val="center"/>
        <w:rPr>
          <w:rFonts w:hAnsi="黑体"/>
          <w:b/>
          <w:bCs/>
          <w:color w:val="000000" w:themeColor="text1"/>
          <w:sz w:val="52"/>
          <w:szCs w:val="52"/>
        </w:rPr>
      </w:pPr>
    </w:p>
    <w:p w14:paraId="0B3BC8E9" w14:textId="77777777" w:rsidR="0075221D" w:rsidRDefault="00000000">
      <w:pPr>
        <w:pStyle w:val="Default"/>
        <w:jc w:val="center"/>
        <w:rPr>
          <w:rFonts w:hAnsi="黑体"/>
          <w:b/>
          <w:bCs/>
          <w:color w:val="000000" w:themeColor="text1"/>
          <w:sz w:val="52"/>
          <w:szCs w:val="52"/>
        </w:rPr>
      </w:pPr>
      <w:r>
        <w:rPr>
          <w:rFonts w:hAnsi="黑体" w:hint="eastAsia"/>
          <w:b/>
          <w:bCs/>
          <w:color w:val="000000" w:themeColor="text1"/>
          <w:sz w:val="52"/>
          <w:szCs w:val="52"/>
        </w:rPr>
        <w:t>岳阳市城市管理综合行政执法支队</w:t>
      </w:r>
    </w:p>
    <w:p w14:paraId="0F974440" w14:textId="77777777" w:rsidR="0075221D" w:rsidRDefault="00000000">
      <w:pPr>
        <w:pStyle w:val="Default"/>
        <w:jc w:val="center"/>
        <w:rPr>
          <w:rFonts w:hAnsi="黑体"/>
          <w:b/>
          <w:bCs/>
          <w:color w:val="000000" w:themeColor="text1"/>
          <w:sz w:val="52"/>
          <w:szCs w:val="52"/>
        </w:rPr>
      </w:pPr>
      <w:r>
        <w:rPr>
          <w:rFonts w:hAnsi="黑体" w:hint="eastAsia"/>
          <w:b/>
          <w:bCs/>
          <w:color w:val="000000" w:themeColor="text1"/>
          <w:sz w:val="52"/>
          <w:szCs w:val="52"/>
        </w:rPr>
        <w:t>概况</w:t>
      </w:r>
    </w:p>
    <w:p w14:paraId="3922082B" w14:textId="77777777" w:rsidR="0075221D" w:rsidRDefault="0075221D">
      <w:pPr>
        <w:pStyle w:val="ab"/>
        <w:ind w:firstLineChars="0" w:firstLine="0"/>
        <w:jc w:val="left"/>
        <w:rPr>
          <w:rFonts w:ascii="黑体" w:eastAsia="黑体" w:hAnsi="黑体"/>
          <w:color w:val="000000" w:themeColor="text1"/>
          <w:sz w:val="32"/>
          <w:szCs w:val="32"/>
        </w:rPr>
      </w:pPr>
    </w:p>
    <w:p w14:paraId="69A026F2" w14:textId="77777777" w:rsidR="0075221D" w:rsidRDefault="00000000">
      <w:pPr>
        <w:pStyle w:val="ab"/>
        <w:numPr>
          <w:ilvl w:val="0"/>
          <w:numId w:val="1"/>
        </w:numPr>
        <w:ind w:firstLineChars="0"/>
        <w:jc w:val="left"/>
        <w:rPr>
          <w:rFonts w:ascii="黑体" w:eastAsia="黑体" w:hAnsi="黑体"/>
          <w:color w:val="000000" w:themeColor="text1"/>
          <w:sz w:val="32"/>
          <w:szCs w:val="32"/>
        </w:rPr>
      </w:pPr>
      <w:r>
        <w:rPr>
          <w:rFonts w:ascii="黑体" w:eastAsia="黑体" w:hAnsi="黑体"/>
          <w:color w:val="000000" w:themeColor="text1"/>
          <w:sz w:val="32"/>
          <w:szCs w:val="32"/>
        </w:rPr>
        <w:t>部门职责</w:t>
      </w:r>
    </w:p>
    <w:p w14:paraId="4002FD23" w14:textId="77777777" w:rsidR="0075221D" w:rsidRDefault="00000000">
      <w:pPr>
        <w:pStyle w:val="aa"/>
        <w:widowControl/>
        <w:shd w:val="clear" w:color="auto" w:fill="FFFFFF"/>
        <w:spacing w:before="0" w:beforeAutospacing="0" w:after="0" w:afterAutospacing="0"/>
        <w:ind w:firstLine="420"/>
        <w:jc w:val="both"/>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1、贯彻、执行国家和地方关于城市管理和城市管理行政执法的政策、法规；</w:t>
      </w:r>
    </w:p>
    <w:p w14:paraId="4DB5FEC8" w14:textId="77777777" w:rsidR="0075221D" w:rsidRDefault="00000000">
      <w:pPr>
        <w:pStyle w:val="aa"/>
        <w:widowControl/>
        <w:shd w:val="clear" w:color="auto" w:fill="FFFFFF"/>
        <w:spacing w:before="0" w:beforeAutospacing="0" w:after="0" w:afterAutospacing="0"/>
        <w:ind w:firstLine="420"/>
        <w:jc w:val="both"/>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2、依据市容环境卫生、城市园林绿化、环境保护、工商行政、公安交通管理等方面的法律、法规、规章规定实施行政处罚；</w:t>
      </w:r>
    </w:p>
    <w:p w14:paraId="59FC1B0B" w14:textId="77777777" w:rsidR="0075221D" w:rsidRDefault="00000000">
      <w:pPr>
        <w:pStyle w:val="aa"/>
        <w:widowControl/>
        <w:shd w:val="clear" w:color="auto" w:fill="FFFFFF"/>
        <w:spacing w:before="0" w:beforeAutospacing="0" w:after="0" w:afterAutospacing="0"/>
        <w:ind w:firstLine="420"/>
        <w:jc w:val="both"/>
        <w:rPr>
          <w:rFonts w:asciiTheme="minorEastAsia" w:hAnsiTheme="minorEastAsia" w:cstheme="minorEastAsia"/>
          <w:color w:val="000000" w:themeColor="text1"/>
          <w:sz w:val="32"/>
          <w:szCs w:val="32"/>
        </w:rPr>
      </w:pPr>
      <w:r>
        <w:rPr>
          <w:rFonts w:asciiTheme="minorEastAsia" w:hAnsiTheme="minorEastAsia" w:cstheme="minorEastAsia" w:hint="eastAsia"/>
          <w:color w:val="000000" w:themeColor="text1"/>
          <w:sz w:val="32"/>
          <w:szCs w:val="32"/>
        </w:rPr>
        <w:t>3、负责城区“牛皮癣”治理、城区夜市的规范经营和整顿管理；</w:t>
      </w:r>
    </w:p>
    <w:p w14:paraId="37A64D6A" w14:textId="77777777" w:rsidR="0075221D" w:rsidRDefault="00000000">
      <w:pPr>
        <w:pStyle w:val="aa"/>
        <w:widowControl/>
        <w:shd w:val="clear" w:color="auto" w:fill="FFFFFF"/>
        <w:spacing w:before="0" w:beforeAutospacing="0" w:after="0" w:afterAutospacing="0"/>
        <w:ind w:firstLine="420"/>
        <w:jc w:val="both"/>
        <w:rPr>
          <w:rFonts w:asciiTheme="minorEastAsia" w:hAnsiTheme="minorEastAsia" w:cstheme="minorEastAsia"/>
          <w:color w:val="000000" w:themeColor="text1"/>
          <w:sz w:val="32"/>
          <w:szCs w:val="32"/>
          <w:shd w:val="clear" w:color="auto" w:fill="FFFFFF"/>
        </w:rPr>
      </w:pPr>
      <w:r>
        <w:rPr>
          <w:rFonts w:asciiTheme="minorEastAsia" w:hAnsiTheme="minorEastAsia" w:cstheme="minorEastAsia" w:hint="eastAsia"/>
          <w:color w:val="000000" w:themeColor="text1"/>
          <w:sz w:val="32"/>
          <w:szCs w:val="32"/>
        </w:rPr>
        <w:t>4、负责城镇燃气和禁止燃放烟花爆竹执法等工作;</w:t>
      </w:r>
    </w:p>
    <w:p w14:paraId="01F49BE0" w14:textId="77777777" w:rsidR="0075221D" w:rsidRDefault="00000000">
      <w:pPr>
        <w:pStyle w:val="aa"/>
        <w:widowControl/>
        <w:shd w:val="clear" w:color="auto" w:fill="FFFFFF"/>
        <w:spacing w:before="0" w:beforeAutospacing="0" w:after="0" w:afterAutospacing="0"/>
        <w:ind w:firstLine="420"/>
        <w:jc w:val="both"/>
        <w:rPr>
          <w:rFonts w:ascii="仿宋_GB2312" w:eastAsia="仿宋_GB2312" w:hAnsi="仿宋_GB2312" w:cs="仿宋_GB2312"/>
          <w:color w:val="000000" w:themeColor="text1"/>
          <w:sz w:val="28"/>
          <w:szCs w:val="28"/>
          <w:shd w:val="clear" w:color="auto" w:fill="FFFFFF"/>
        </w:rPr>
      </w:pPr>
      <w:r>
        <w:rPr>
          <w:rFonts w:asciiTheme="minorEastAsia" w:hAnsiTheme="minorEastAsia" w:cstheme="minorEastAsia" w:hint="eastAsia"/>
          <w:color w:val="000000" w:themeColor="text1"/>
          <w:sz w:val="32"/>
          <w:szCs w:val="32"/>
          <w:shd w:val="clear" w:color="auto" w:fill="FFFFFF"/>
        </w:rPr>
        <w:t>5、承办上级部门交办的其他事项。</w:t>
      </w:r>
    </w:p>
    <w:p w14:paraId="200C94FA" w14:textId="77777777" w:rsidR="0075221D" w:rsidRDefault="00000000">
      <w:pPr>
        <w:widowControl/>
        <w:spacing w:line="600" w:lineRule="exact"/>
        <w:rPr>
          <w:rFonts w:ascii="黑体" w:eastAsia="黑体" w:hAnsi="黑体"/>
          <w:bCs/>
          <w:color w:val="000000" w:themeColor="text1"/>
          <w:kern w:val="0"/>
          <w:sz w:val="32"/>
          <w:szCs w:val="32"/>
        </w:rPr>
      </w:pPr>
      <w:r>
        <w:rPr>
          <w:rFonts w:ascii="黑体" w:eastAsia="黑体" w:hAnsi="黑体" w:hint="eastAsia"/>
          <w:bCs/>
          <w:color w:val="000000" w:themeColor="text1"/>
          <w:kern w:val="0"/>
          <w:sz w:val="32"/>
          <w:szCs w:val="32"/>
        </w:rPr>
        <w:t>二、机构设置及决算单位构成</w:t>
      </w:r>
    </w:p>
    <w:p w14:paraId="1DBC01EF" w14:textId="77777777" w:rsidR="0075221D" w:rsidRDefault="00000000">
      <w:pPr>
        <w:widowControl/>
        <w:spacing w:line="600" w:lineRule="exact"/>
        <w:ind w:firstLineChars="200" w:firstLine="640"/>
        <w:rPr>
          <w:rFonts w:asciiTheme="minorEastAsia" w:hAnsiTheme="minorEastAsia"/>
          <w:bCs/>
          <w:color w:val="000000" w:themeColor="text1"/>
          <w:kern w:val="0"/>
          <w:sz w:val="32"/>
          <w:szCs w:val="32"/>
        </w:rPr>
      </w:pPr>
      <w:r>
        <w:rPr>
          <w:rFonts w:asciiTheme="minorEastAsia" w:hAnsiTheme="minorEastAsia" w:hint="eastAsia"/>
          <w:bCs/>
          <w:color w:val="000000" w:themeColor="text1"/>
          <w:kern w:val="0"/>
          <w:sz w:val="32"/>
          <w:szCs w:val="32"/>
        </w:rPr>
        <w:t>（一）内设机构设置。</w:t>
      </w:r>
    </w:p>
    <w:p w14:paraId="50A2E066" w14:textId="77777777" w:rsidR="0075221D" w:rsidRDefault="00000000">
      <w:pPr>
        <w:widowControl/>
        <w:spacing w:line="600" w:lineRule="exact"/>
        <w:ind w:firstLineChars="200" w:firstLine="640"/>
        <w:rPr>
          <w:rFonts w:asciiTheme="minorEastAsia" w:hAnsiTheme="minorEastAsia" w:cstheme="minorEastAsia"/>
          <w:color w:val="000000" w:themeColor="text1"/>
          <w:sz w:val="32"/>
          <w:szCs w:val="32"/>
        </w:rPr>
      </w:pPr>
      <w:r>
        <w:rPr>
          <w:rFonts w:asciiTheme="minorEastAsia" w:hAnsiTheme="minorEastAsia" w:hint="eastAsia"/>
          <w:bCs/>
          <w:color w:val="000000" w:themeColor="text1"/>
          <w:kern w:val="0"/>
          <w:sz w:val="32"/>
          <w:szCs w:val="32"/>
        </w:rPr>
        <w:t>岳阳市城市管理综合行政执法支队内设机构包括：办公室、政工科、行装科、执法监察科、路段（岗位）责任制考评办公室、综合管理科，</w:t>
      </w:r>
      <w:r>
        <w:rPr>
          <w:rFonts w:asciiTheme="minorEastAsia" w:hAnsiTheme="minorEastAsia" w:cstheme="minorEastAsia" w:hint="eastAsia"/>
          <w:color w:val="000000" w:themeColor="text1"/>
          <w:sz w:val="32"/>
          <w:szCs w:val="32"/>
        </w:rPr>
        <w:t>2021年下设单位为：直</w:t>
      </w:r>
      <w:r>
        <w:rPr>
          <w:rFonts w:asciiTheme="minorEastAsia" w:hAnsiTheme="minorEastAsia" w:cstheme="minorEastAsia" w:hint="eastAsia"/>
          <w:color w:val="000000" w:themeColor="text1"/>
          <w:spacing w:val="-3"/>
          <w:sz w:val="32"/>
          <w:szCs w:val="32"/>
        </w:rPr>
        <w:t>属一大队、</w:t>
      </w:r>
      <w:r>
        <w:rPr>
          <w:rFonts w:asciiTheme="minorEastAsia" w:hAnsiTheme="minorEastAsia" w:cstheme="minorEastAsia" w:hint="eastAsia"/>
          <w:color w:val="000000" w:themeColor="text1"/>
          <w:sz w:val="32"/>
          <w:szCs w:val="32"/>
        </w:rPr>
        <w:t>直</w:t>
      </w:r>
      <w:r>
        <w:rPr>
          <w:rFonts w:asciiTheme="minorEastAsia" w:hAnsiTheme="minorEastAsia" w:cstheme="minorEastAsia" w:hint="eastAsia"/>
          <w:color w:val="000000" w:themeColor="text1"/>
          <w:spacing w:val="-3"/>
          <w:sz w:val="32"/>
          <w:szCs w:val="32"/>
        </w:rPr>
        <w:t>属二大队、直属三</w:t>
      </w:r>
      <w:r>
        <w:rPr>
          <w:rFonts w:asciiTheme="minorEastAsia" w:hAnsiTheme="minorEastAsia" w:cstheme="minorEastAsia" w:hint="eastAsia"/>
          <w:color w:val="000000" w:themeColor="text1"/>
          <w:sz w:val="32"/>
          <w:szCs w:val="32"/>
        </w:rPr>
        <w:t>大队、综合执法大队、城</w:t>
      </w:r>
      <w:r>
        <w:rPr>
          <w:rFonts w:asciiTheme="minorEastAsia" w:hAnsiTheme="minorEastAsia" w:cstheme="minorEastAsia" w:hint="eastAsia"/>
          <w:color w:val="000000" w:themeColor="text1"/>
          <w:spacing w:val="-3"/>
          <w:sz w:val="32"/>
          <w:szCs w:val="32"/>
        </w:rPr>
        <w:t>镇燃气和禁炮执法大队</w:t>
      </w:r>
      <w:r>
        <w:rPr>
          <w:rFonts w:asciiTheme="minorEastAsia" w:hAnsiTheme="minorEastAsia" w:cstheme="minorEastAsia" w:hint="eastAsia"/>
          <w:color w:val="000000" w:themeColor="text1"/>
          <w:sz w:val="32"/>
          <w:szCs w:val="32"/>
        </w:rPr>
        <w:t>、行政处罚大队。</w:t>
      </w:r>
    </w:p>
    <w:p w14:paraId="13879A33" w14:textId="77777777" w:rsidR="0075221D" w:rsidRDefault="00000000">
      <w:pPr>
        <w:widowControl/>
        <w:spacing w:line="600" w:lineRule="exact"/>
        <w:ind w:firstLineChars="200" w:firstLine="640"/>
        <w:rPr>
          <w:rFonts w:asciiTheme="minorEastAsia" w:hAnsiTheme="minorEastAsia"/>
          <w:bCs/>
          <w:color w:val="000000" w:themeColor="text1"/>
          <w:kern w:val="0"/>
          <w:sz w:val="32"/>
          <w:szCs w:val="32"/>
        </w:rPr>
      </w:pPr>
      <w:r>
        <w:rPr>
          <w:rFonts w:asciiTheme="minorEastAsia" w:hAnsiTheme="minorEastAsia" w:hint="eastAsia"/>
          <w:bCs/>
          <w:color w:val="000000" w:themeColor="text1"/>
          <w:kern w:val="0"/>
          <w:sz w:val="32"/>
          <w:szCs w:val="32"/>
        </w:rPr>
        <w:t>（二）决算单位构成。</w:t>
      </w:r>
    </w:p>
    <w:p w14:paraId="543354A4" w14:textId="77777777" w:rsidR="0075221D" w:rsidRDefault="00000000">
      <w:pPr>
        <w:widowControl/>
        <w:spacing w:line="600" w:lineRule="exact"/>
        <w:ind w:firstLineChars="200" w:firstLine="640"/>
        <w:rPr>
          <w:rFonts w:asciiTheme="minorEastAsia" w:hAnsiTheme="minorEastAsia"/>
          <w:bCs/>
          <w:color w:val="000000" w:themeColor="text1"/>
          <w:kern w:val="0"/>
          <w:sz w:val="32"/>
          <w:szCs w:val="32"/>
        </w:rPr>
      </w:pPr>
      <w:r>
        <w:rPr>
          <w:rFonts w:asciiTheme="minorEastAsia" w:hAnsiTheme="minorEastAsia" w:hint="eastAsia"/>
          <w:bCs/>
          <w:color w:val="000000" w:themeColor="text1"/>
          <w:kern w:val="0"/>
          <w:sz w:val="32"/>
          <w:szCs w:val="32"/>
        </w:rPr>
        <w:t>我单位只有本级，没有其他二级预算单位，因此，纳入2021年部门决算编制范围的只有岳阳市城市管理综合行政执法支队本级决算。</w:t>
      </w:r>
    </w:p>
    <w:p w14:paraId="504307AC" w14:textId="77777777" w:rsidR="0075221D" w:rsidRDefault="00000000">
      <w:pPr>
        <w:jc w:val="center"/>
        <w:rPr>
          <w:rFonts w:ascii="黑体" w:eastAsia="黑体" w:hAnsi="黑体" w:cs="黑体"/>
          <w:color w:val="000000" w:themeColor="text1"/>
          <w:sz w:val="52"/>
          <w:szCs w:val="52"/>
        </w:rPr>
      </w:pPr>
      <w:r>
        <w:rPr>
          <w:rFonts w:ascii="黑体" w:eastAsia="黑体" w:hAnsi="黑体" w:cs="黑体" w:hint="eastAsia"/>
          <w:color w:val="000000" w:themeColor="text1"/>
          <w:sz w:val="52"/>
          <w:szCs w:val="52"/>
        </w:rPr>
        <w:lastRenderedPageBreak/>
        <w:t>第二部分</w:t>
      </w:r>
    </w:p>
    <w:p w14:paraId="368A2122" w14:textId="77777777" w:rsidR="0075221D" w:rsidRDefault="0075221D">
      <w:pPr>
        <w:jc w:val="center"/>
        <w:rPr>
          <w:rFonts w:ascii="黑体" w:eastAsia="黑体" w:hAnsi="黑体" w:cs="黑体"/>
          <w:color w:val="000000" w:themeColor="text1"/>
          <w:sz w:val="52"/>
          <w:szCs w:val="52"/>
        </w:rPr>
      </w:pPr>
    </w:p>
    <w:p w14:paraId="6C25F269" w14:textId="77777777" w:rsidR="0075221D" w:rsidRDefault="00000000">
      <w:pPr>
        <w:jc w:val="center"/>
        <w:rPr>
          <w:rFonts w:ascii="黑体" w:eastAsia="黑体" w:hAnsi="黑体" w:cs="黑体"/>
          <w:color w:val="000000" w:themeColor="text1"/>
          <w:sz w:val="52"/>
          <w:szCs w:val="52"/>
        </w:rPr>
      </w:pPr>
      <w:r>
        <w:rPr>
          <w:rFonts w:ascii="黑体" w:eastAsia="黑体" w:hAnsi="黑体" w:cs="黑体" w:hint="eastAsia"/>
          <w:color w:val="000000" w:themeColor="text1"/>
          <w:sz w:val="52"/>
          <w:szCs w:val="52"/>
        </w:rPr>
        <w:t>部门决算表</w:t>
      </w:r>
    </w:p>
    <w:p w14:paraId="06D196EA" w14:textId="77777777" w:rsidR="0075221D" w:rsidRDefault="00000000">
      <w:pPr>
        <w:jc w:val="center"/>
        <w:rPr>
          <w:color w:val="000000" w:themeColor="text1"/>
          <w:sz w:val="72"/>
          <w:szCs w:val="72"/>
        </w:rPr>
      </w:pPr>
      <w:r>
        <w:rPr>
          <w:rFonts w:ascii="黑体" w:eastAsia="黑体" w:hAnsi="黑体" w:cs="黑体" w:hint="eastAsia"/>
          <w:color w:val="000000" w:themeColor="text1"/>
          <w:sz w:val="52"/>
          <w:szCs w:val="52"/>
        </w:rPr>
        <w:t>（见附件）</w:t>
      </w:r>
    </w:p>
    <w:p w14:paraId="319750B9" w14:textId="77777777" w:rsidR="0075221D" w:rsidRDefault="0075221D">
      <w:pPr>
        <w:jc w:val="center"/>
        <w:rPr>
          <w:color w:val="000000" w:themeColor="text1"/>
          <w:sz w:val="72"/>
          <w:szCs w:val="72"/>
        </w:rPr>
      </w:pPr>
    </w:p>
    <w:p w14:paraId="15008826" w14:textId="77777777" w:rsidR="0075221D" w:rsidRDefault="0075221D">
      <w:pPr>
        <w:jc w:val="center"/>
        <w:rPr>
          <w:color w:val="000000" w:themeColor="text1"/>
          <w:sz w:val="72"/>
          <w:szCs w:val="72"/>
        </w:rPr>
      </w:pPr>
    </w:p>
    <w:p w14:paraId="5073E375" w14:textId="77777777" w:rsidR="0075221D" w:rsidRDefault="0075221D">
      <w:pPr>
        <w:jc w:val="center"/>
        <w:rPr>
          <w:color w:val="000000" w:themeColor="text1"/>
          <w:sz w:val="72"/>
          <w:szCs w:val="72"/>
        </w:rPr>
      </w:pPr>
    </w:p>
    <w:p w14:paraId="08E9EE8D" w14:textId="77777777" w:rsidR="0075221D" w:rsidRDefault="0075221D">
      <w:pPr>
        <w:jc w:val="center"/>
        <w:rPr>
          <w:color w:val="000000" w:themeColor="text1"/>
          <w:sz w:val="72"/>
          <w:szCs w:val="72"/>
        </w:rPr>
      </w:pPr>
    </w:p>
    <w:p w14:paraId="1171520B" w14:textId="77777777" w:rsidR="0075221D" w:rsidRDefault="0075221D">
      <w:pPr>
        <w:jc w:val="center"/>
        <w:rPr>
          <w:color w:val="000000" w:themeColor="text1"/>
          <w:sz w:val="72"/>
          <w:szCs w:val="72"/>
        </w:rPr>
      </w:pPr>
    </w:p>
    <w:p w14:paraId="43653A06" w14:textId="77777777" w:rsidR="0075221D" w:rsidRDefault="0075221D">
      <w:pPr>
        <w:jc w:val="left"/>
        <w:rPr>
          <w:rFonts w:asciiTheme="minorEastAsia" w:hAnsiTheme="minorEastAsia"/>
          <w:color w:val="000000" w:themeColor="text1"/>
          <w:sz w:val="32"/>
          <w:szCs w:val="32"/>
        </w:rPr>
        <w:sectPr w:rsidR="0075221D">
          <w:pgSz w:w="11906" w:h="16838"/>
          <w:pgMar w:top="720" w:right="720" w:bottom="720" w:left="720" w:header="851" w:footer="992" w:gutter="0"/>
          <w:cols w:space="425"/>
          <w:docGrid w:type="lines" w:linePitch="312"/>
        </w:sectPr>
      </w:pPr>
    </w:p>
    <w:p w14:paraId="1D6FE3B4" w14:textId="77777777" w:rsidR="0075221D" w:rsidRDefault="00000000">
      <w:pPr>
        <w:pStyle w:val="Default"/>
        <w:jc w:val="center"/>
        <w:rPr>
          <w:color w:val="000000" w:themeColor="text1"/>
          <w:sz w:val="52"/>
          <w:szCs w:val="52"/>
        </w:rPr>
      </w:pPr>
      <w:r>
        <w:rPr>
          <w:rFonts w:hint="eastAsia"/>
          <w:color w:val="000000" w:themeColor="text1"/>
          <w:sz w:val="52"/>
          <w:szCs w:val="52"/>
        </w:rPr>
        <w:lastRenderedPageBreak/>
        <w:t>第三部分</w:t>
      </w:r>
    </w:p>
    <w:p w14:paraId="687F3CF7" w14:textId="77777777" w:rsidR="0075221D" w:rsidRDefault="0075221D">
      <w:pPr>
        <w:pStyle w:val="Default"/>
        <w:jc w:val="center"/>
        <w:rPr>
          <w:color w:val="000000" w:themeColor="text1"/>
          <w:sz w:val="52"/>
          <w:szCs w:val="52"/>
        </w:rPr>
      </w:pPr>
    </w:p>
    <w:p w14:paraId="7452C1FE" w14:textId="77777777" w:rsidR="0075221D" w:rsidRDefault="00000000">
      <w:pPr>
        <w:pStyle w:val="Default"/>
        <w:jc w:val="center"/>
        <w:rPr>
          <w:color w:val="000000" w:themeColor="text1"/>
          <w:sz w:val="52"/>
          <w:szCs w:val="52"/>
        </w:rPr>
      </w:pPr>
      <w:r>
        <w:rPr>
          <w:color w:val="000000" w:themeColor="text1"/>
          <w:sz w:val="52"/>
          <w:szCs w:val="52"/>
        </w:rPr>
        <w:t>20</w:t>
      </w:r>
      <w:r>
        <w:rPr>
          <w:rFonts w:hint="eastAsia"/>
          <w:color w:val="000000" w:themeColor="text1"/>
          <w:sz w:val="52"/>
          <w:szCs w:val="52"/>
        </w:rPr>
        <w:t>21年度部门决算情况说明</w:t>
      </w:r>
    </w:p>
    <w:p w14:paraId="25E92D8D" w14:textId="77777777" w:rsidR="0075221D" w:rsidRDefault="0075221D">
      <w:pPr>
        <w:pStyle w:val="Default"/>
        <w:jc w:val="center"/>
        <w:rPr>
          <w:color w:val="000000" w:themeColor="text1"/>
          <w:sz w:val="52"/>
          <w:szCs w:val="52"/>
        </w:rPr>
      </w:pPr>
    </w:p>
    <w:p w14:paraId="7D8552DC" w14:textId="77777777" w:rsidR="0075221D" w:rsidRDefault="00000000">
      <w:pPr>
        <w:widowControl/>
        <w:jc w:val="left"/>
        <w:rPr>
          <w:rFonts w:hAnsi="黑体"/>
          <w:b/>
          <w:color w:val="000000" w:themeColor="text1"/>
          <w:sz w:val="32"/>
          <w:szCs w:val="32"/>
        </w:rPr>
      </w:pPr>
      <w:r>
        <w:rPr>
          <w:rFonts w:hAnsi="黑体" w:hint="eastAsia"/>
          <w:b/>
          <w:color w:val="000000" w:themeColor="text1"/>
          <w:sz w:val="32"/>
          <w:szCs w:val="32"/>
        </w:rPr>
        <w:t>一、收入支出决算总体情况说明</w:t>
      </w:r>
    </w:p>
    <w:p w14:paraId="7EC8BD8D"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2021年度收、支总计3696.83万元。与上年相比，增加110.90万元，增长3.09%，主要是因为专项经费及其他收入增加</w:t>
      </w:r>
      <w:r>
        <w:rPr>
          <w:rFonts w:ascii="仿宋_GB2312" w:eastAsia="仿宋_GB2312" w:hAnsi="仿宋_GB2312" w:hint="eastAsia"/>
          <w:color w:val="000000" w:themeColor="text1"/>
          <w:sz w:val="32"/>
        </w:rPr>
        <w:t>。</w:t>
      </w:r>
    </w:p>
    <w:p w14:paraId="761CBF55"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二、收入决算情况说明</w:t>
      </w:r>
    </w:p>
    <w:p w14:paraId="47E51C7C"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2021年度收入合计3641.42万元，其中：财政拨款收入3321.80万元，占91.22%；上级补助收入0万元，占0%；事业收入0万元，占0%；经营收入0万元，占0%；附属单位上缴收入0万元，占0%；其他收入319.62万元，占8.78%。</w:t>
      </w:r>
    </w:p>
    <w:p w14:paraId="3B829D95"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三、支出决算情况说明</w:t>
      </w:r>
    </w:p>
    <w:p w14:paraId="1CE4437C"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2021年度支出合计3696.83万元，其中：基本支出2324.41万元，占62.88%；项目支出1372.42万元，占37.12%；上缴上级支出0万元，占0%；经营支出0万元，占0%；对附属单位补助支出0万元，占0%。</w:t>
      </w:r>
    </w:p>
    <w:p w14:paraId="7BFDA42A"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四、财政拨款收入支出决算总体情况说明</w:t>
      </w:r>
    </w:p>
    <w:p w14:paraId="4C8FE155"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2021年度财政拨款收、支总计3370.31万元，与上年相比，减少145.59万元,减少4.14%，主要是因为人员工资绩效奖金减少。</w:t>
      </w:r>
    </w:p>
    <w:p w14:paraId="46C4604E"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五、一般公共预算财政拨款支出决算情况说明</w:t>
      </w:r>
    </w:p>
    <w:p w14:paraId="76AF75C9" w14:textId="77777777" w:rsidR="0075221D" w:rsidRDefault="00000000">
      <w:pPr>
        <w:pStyle w:val="Default"/>
        <w:ind w:firstLineChars="200" w:firstLine="64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（一）财政拨款支出决算总体情况</w:t>
      </w:r>
    </w:p>
    <w:p w14:paraId="44469DF9" w14:textId="77777777" w:rsidR="0075221D" w:rsidRDefault="00000000">
      <w:pPr>
        <w:pStyle w:val="Default"/>
        <w:ind w:firstLineChars="250" w:firstLine="800"/>
        <w:rPr>
          <w:rFonts w:asciiTheme="minorEastAsia" w:eastAsiaTheme="minorEastAsia" w:hAnsiTheme="minorEastAsia"/>
          <w:i/>
          <w:iCs/>
          <w:color w:val="000000" w:themeColor="text1"/>
          <w:sz w:val="32"/>
          <w:szCs w:val="32"/>
        </w:rPr>
      </w:pPr>
      <w:r>
        <w:rPr>
          <w:rFonts w:asciiTheme="minorEastAsia" w:eastAsiaTheme="minorEastAsia" w:hAnsiTheme="minorEastAsia" w:hint="eastAsia"/>
          <w:color w:val="000000" w:themeColor="text1"/>
          <w:sz w:val="32"/>
          <w:szCs w:val="32"/>
        </w:rPr>
        <w:t>2021年度财政拨款支出3370.31万元，占本年支出合计的91.17%，与</w:t>
      </w:r>
      <w:r>
        <w:rPr>
          <w:rFonts w:asciiTheme="minorEastAsia" w:eastAsiaTheme="minorEastAsia" w:hAnsiTheme="minorEastAsia" w:hint="eastAsia"/>
          <w:color w:val="000000" w:themeColor="text1"/>
          <w:sz w:val="32"/>
          <w:szCs w:val="32"/>
        </w:rPr>
        <w:lastRenderedPageBreak/>
        <w:t>上年相比，财政拨款支出减少145.56万元，减少4.14%，主要是因为人员工资绩效奖金减少。</w:t>
      </w:r>
    </w:p>
    <w:p w14:paraId="64274055" w14:textId="77777777" w:rsidR="0075221D" w:rsidRDefault="00000000">
      <w:pPr>
        <w:pStyle w:val="Default"/>
        <w:ind w:firstLineChars="150" w:firstLine="482"/>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（二）财政拨款支出决算结构情况</w:t>
      </w:r>
    </w:p>
    <w:p w14:paraId="50DBE5C7"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2021年度财政拨款支出3370.31万元，主要用于以下方面：社会保障和就业支出156.23万元，占4.63%；卫生健康支出63.87万元，占1.90%;城乡社区支出3150.21万元，占93.47%。</w:t>
      </w:r>
    </w:p>
    <w:p w14:paraId="1F0AE886" w14:textId="77777777" w:rsidR="0075221D" w:rsidRDefault="00000000">
      <w:pPr>
        <w:pStyle w:val="Default"/>
        <w:ind w:firstLineChars="250" w:firstLine="803"/>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（三）财政拨款支出决算具体情况</w:t>
      </w:r>
    </w:p>
    <w:p w14:paraId="00871F5F"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2021年度财政拨款支出年初预算数为3029.36万元，支出决算数为3370.31万元，完成年初预算的111.25%，其中：</w:t>
      </w:r>
    </w:p>
    <w:p w14:paraId="5ACB25F3"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1、社会保障和就业支出（类）行政事业单位养老支出（款）机关事业单位基本养老保险缴费支出（项）年初预算为137.98万元，支出决算为137.98万元，完成年初预算的100%，决算数与预算数一致。</w:t>
      </w:r>
    </w:p>
    <w:p w14:paraId="3E7BBC16"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社会保障和就业支出（类）抚恤（款）其他优抚支出（项）年初预算为0万元，支出决算为4.54万元，由于预算数为0，无法计算百分比，决算数大于预算数是因为追加预算经费。</w:t>
      </w:r>
    </w:p>
    <w:p w14:paraId="2BEB7102"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社会保障和就业支出（类）残疾人事业（款）其他残疾人事业支出（项）年初预算为13.71万元，支出决算为13.71万元，完成年初预算的100%，决算数与预算数一致。</w:t>
      </w:r>
    </w:p>
    <w:p w14:paraId="025B2B7A"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2、卫生健康支出。</w:t>
      </w:r>
    </w:p>
    <w:p w14:paraId="7E9FA150"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卫生健康支出（类）行政事业单位医疗（款）行政单位医疗（项）年初预算为63.87万元，支出决算为63.87万元，完成年初预算的100%，决算数与预算数一致。</w:t>
      </w:r>
    </w:p>
    <w:p w14:paraId="4CFC6A88"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3、城乡社区支出。</w:t>
      </w:r>
    </w:p>
    <w:p w14:paraId="0A8FC68A"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城乡社区支出（类）城乡社区管理事务（款）城管执法（项）年初预</w:t>
      </w:r>
      <w:r>
        <w:rPr>
          <w:rFonts w:asciiTheme="minorEastAsia" w:eastAsiaTheme="minorEastAsia" w:hAnsiTheme="minorEastAsia" w:hint="eastAsia"/>
          <w:color w:val="000000" w:themeColor="text1"/>
          <w:sz w:val="32"/>
          <w:szCs w:val="32"/>
        </w:rPr>
        <w:lastRenderedPageBreak/>
        <w:t>算为1153.22万元，支出决算为1153.22万元，完成年初预算的100%。</w:t>
      </w:r>
    </w:p>
    <w:p w14:paraId="48C05B86"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城乡社区支出（类）城乡社区规划与管理（款）城乡社区规划与管理（项）年初预算为1438万元，支出决算为1946.82万元，完成年初预算的135.38%。决算数大于年初预算的主要原因是追加了2020年综合绩效、平安建设考评奖励，预拨了2021年绩效奖（人均8200元）及年终一个月工资经费等。</w:t>
      </w:r>
    </w:p>
    <w:p w14:paraId="1683F0C9" w14:textId="494BF54A"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城乡社区支出（类）其他城乡社区支出（款）其他城乡社区支出（项）年初预算为0万元，支出决算为50.17万元，</w:t>
      </w:r>
      <w:r w:rsidR="005E34DC">
        <w:rPr>
          <w:rFonts w:asciiTheme="minorEastAsia" w:eastAsiaTheme="minorEastAsia" w:hAnsiTheme="minorEastAsia" w:hint="eastAsia"/>
          <w:color w:val="000000" w:themeColor="text1"/>
          <w:sz w:val="32"/>
          <w:szCs w:val="32"/>
        </w:rPr>
        <w:t>由于预算数为0，无法计算百分比，</w:t>
      </w:r>
      <w:r>
        <w:rPr>
          <w:rFonts w:asciiTheme="minorEastAsia" w:eastAsiaTheme="minorEastAsia" w:hAnsiTheme="minorEastAsia" w:hint="eastAsia"/>
          <w:color w:val="000000" w:themeColor="text1"/>
          <w:sz w:val="32"/>
          <w:szCs w:val="32"/>
        </w:rPr>
        <w:t>决算数大于年初预算的主要原因是追加了2020年办案费超收安排经费50.17万元。</w:t>
      </w:r>
    </w:p>
    <w:p w14:paraId="5EB8FEF9"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六、一般公共预算财政拨款基本支出决算情况说明</w:t>
      </w:r>
    </w:p>
    <w:p w14:paraId="7A1A79E2" w14:textId="77777777" w:rsidR="0075221D" w:rsidRDefault="00000000">
      <w:pPr>
        <w:pStyle w:val="Default"/>
        <w:ind w:firstLineChars="200" w:firstLine="640"/>
        <w:rPr>
          <w:rFonts w:asciiTheme="minorEastAsia" w:eastAsiaTheme="minorEastAsia" w:hAnsiTheme="minorEastAsia"/>
          <w:i/>
          <w:color w:val="000000" w:themeColor="text1"/>
          <w:sz w:val="32"/>
          <w:szCs w:val="32"/>
        </w:rPr>
      </w:pPr>
      <w:r>
        <w:rPr>
          <w:rFonts w:asciiTheme="minorEastAsia" w:eastAsiaTheme="minorEastAsia" w:hAnsiTheme="minorEastAsia" w:hint="eastAsia"/>
          <w:color w:val="000000" w:themeColor="text1"/>
          <w:sz w:val="32"/>
          <w:szCs w:val="32"/>
        </w:rPr>
        <w:t>2021年度财政拨款基本支出1997.89万元，其中：人员经费1665.62万元，占基本支出的83.37%,主要包括主要包括基本工资、津贴补贴、</w:t>
      </w:r>
      <w:r>
        <w:rPr>
          <w:rFonts w:asciiTheme="minorEastAsia" w:eastAsiaTheme="minorEastAsia" w:hAnsiTheme="minorEastAsia" w:hint="eastAsia"/>
          <w:color w:val="000000" w:themeColor="text1"/>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Theme="minorEastAsia" w:eastAsiaTheme="minorEastAsia" w:hAnsiTheme="minorEastAsia" w:hint="eastAsia"/>
          <w:color w:val="000000" w:themeColor="text1"/>
          <w:sz w:val="32"/>
          <w:szCs w:val="32"/>
        </w:rPr>
        <w:t>；公用经费332.27万元，占基本支出的16.63%，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64C2D4BA"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lastRenderedPageBreak/>
        <w:t>七、一般公共预算财政拨款“三公”经费支出决算情况说明</w:t>
      </w:r>
    </w:p>
    <w:p w14:paraId="2167C6B4" w14:textId="77777777" w:rsidR="0075221D" w:rsidRDefault="00000000">
      <w:pPr>
        <w:pStyle w:val="Default"/>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（一）“三公”经费财政拨款支出决算总体情况说明</w:t>
      </w:r>
    </w:p>
    <w:p w14:paraId="253EA6C8"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2021年度“三公”经费财政拨款支出预算为45.06万元，支出决算为13.17万元，完成预算的29.23%，其中：</w:t>
      </w:r>
    </w:p>
    <w:p w14:paraId="6F9113C1" w14:textId="2B2A0C51" w:rsidR="0075221D" w:rsidRDefault="00000000">
      <w:pPr>
        <w:pStyle w:val="Default"/>
        <w:ind w:firstLineChars="200" w:firstLine="640"/>
        <w:rPr>
          <w:rFonts w:asciiTheme="minorEastAsia" w:eastAsiaTheme="minorEastAsia" w:hAnsiTheme="minorEastAsia"/>
          <w:color w:val="000000" w:themeColor="text1"/>
          <w:sz w:val="32"/>
          <w:szCs w:val="32"/>
        </w:rPr>
      </w:pPr>
      <w:bookmarkStart w:id="0" w:name="_Hlk146371728"/>
      <w:r>
        <w:rPr>
          <w:rFonts w:asciiTheme="minorEastAsia" w:eastAsiaTheme="minorEastAsia" w:hAnsiTheme="minorEastAsia" w:hint="eastAsia"/>
          <w:color w:val="000000" w:themeColor="text1"/>
          <w:sz w:val="32"/>
          <w:szCs w:val="32"/>
        </w:rPr>
        <w:t>因公出国（境）</w:t>
      </w:r>
      <w:bookmarkEnd w:id="0"/>
      <w:r>
        <w:rPr>
          <w:rFonts w:asciiTheme="minorEastAsia" w:eastAsiaTheme="minorEastAsia" w:hAnsiTheme="minorEastAsia" w:hint="eastAsia"/>
          <w:color w:val="000000" w:themeColor="text1"/>
          <w:sz w:val="32"/>
          <w:szCs w:val="32"/>
        </w:rPr>
        <w:t>费支出预算为0万元，支出决算为0万元，</w:t>
      </w:r>
      <w:r w:rsidR="00907E8A">
        <w:rPr>
          <w:rFonts w:asciiTheme="minorEastAsia" w:eastAsiaTheme="minorEastAsia" w:hAnsiTheme="minorEastAsia" w:hint="eastAsia"/>
          <w:color w:val="000000" w:themeColor="text1"/>
          <w:sz w:val="32"/>
          <w:szCs w:val="32"/>
        </w:rPr>
        <w:t>由于预算数为0，无法计算百分比，</w:t>
      </w:r>
      <w:bookmarkStart w:id="1" w:name="_Hlk146371763"/>
      <w:r w:rsidR="00907E8A">
        <w:rPr>
          <w:rFonts w:asciiTheme="minorEastAsia" w:eastAsiaTheme="minorEastAsia" w:hAnsiTheme="minorEastAsia" w:hint="eastAsia"/>
          <w:color w:val="000000" w:themeColor="text1"/>
          <w:sz w:val="32"/>
          <w:szCs w:val="32"/>
        </w:rPr>
        <w:t>主要原因为本年未安排</w:t>
      </w:r>
      <w:bookmarkEnd w:id="1"/>
      <w:r w:rsidR="00907E8A">
        <w:rPr>
          <w:rFonts w:asciiTheme="minorEastAsia" w:eastAsiaTheme="minorEastAsia" w:hAnsiTheme="minorEastAsia" w:hint="eastAsia"/>
          <w:color w:val="000000" w:themeColor="text1"/>
          <w:sz w:val="32"/>
          <w:szCs w:val="32"/>
        </w:rPr>
        <w:t>因公出国（境）</w:t>
      </w:r>
      <w:r w:rsidR="00907E8A">
        <w:rPr>
          <w:rFonts w:asciiTheme="minorEastAsia" w:eastAsiaTheme="minorEastAsia" w:hAnsiTheme="minorEastAsia" w:hint="eastAsia"/>
          <w:color w:val="000000" w:themeColor="text1"/>
          <w:sz w:val="32"/>
          <w:szCs w:val="32"/>
        </w:rPr>
        <w:t>；</w:t>
      </w:r>
      <w:r>
        <w:rPr>
          <w:rFonts w:asciiTheme="minorEastAsia" w:eastAsiaTheme="minorEastAsia" w:hAnsiTheme="minorEastAsia" w:hint="eastAsia"/>
          <w:color w:val="000000" w:themeColor="text1"/>
          <w:sz w:val="32"/>
          <w:szCs w:val="32"/>
        </w:rPr>
        <w:t>与上年相比</w:t>
      </w:r>
      <w:r w:rsidR="00907E8A">
        <w:rPr>
          <w:rFonts w:asciiTheme="minorEastAsia" w:eastAsiaTheme="minorEastAsia" w:hAnsiTheme="minorEastAsia" w:hint="eastAsia"/>
          <w:color w:val="000000" w:themeColor="text1"/>
          <w:sz w:val="32"/>
          <w:szCs w:val="32"/>
        </w:rPr>
        <w:t>无变化</w:t>
      </w:r>
      <w:r>
        <w:rPr>
          <w:rFonts w:asciiTheme="minorEastAsia" w:eastAsiaTheme="minorEastAsia" w:hAnsiTheme="minorEastAsia" w:hint="eastAsia"/>
          <w:color w:val="000000" w:themeColor="text1"/>
          <w:sz w:val="32"/>
          <w:szCs w:val="32"/>
        </w:rPr>
        <w:t>，</w:t>
      </w:r>
      <w:r w:rsidR="00907E8A">
        <w:rPr>
          <w:rFonts w:asciiTheme="minorEastAsia" w:eastAsiaTheme="minorEastAsia" w:hAnsiTheme="minorEastAsia" w:hint="eastAsia"/>
          <w:color w:val="000000" w:themeColor="text1"/>
          <w:sz w:val="32"/>
          <w:szCs w:val="32"/>
        </w:rPr>
        <w:t>主要原因</w:t>
      </w:r>
      <w:r w:rsidR="00907E8A">
        <w:rPr>
          <w:rFonts w:asciiTheme="minorEastAsia" w:eastAsiaTheme="minorEastAsia" w:hAnsiTheme="minorEastAsia" w:hint="eastAsia"/>
          <w:color w:val="000000" w:themeColor="text1"/>
          <w:sz w:val="32"/>
          <w:szCs w:val="32"/>
        </w:rPr>
        <w:t>是</w:t>
      </w:r>
      <w:r w:rsidR="00907E8A">
        <w:rPr>
          <w:rFonts w:asciiTheme="minorEastAsia" w:eastAsiaTheme="minorEastAsia" w:hAnsiTheme="minorEastAsia" w:hint="eastAsia"/>
          <w:color w:val="000000" w:themeColor="text1"/>
          <w:sz w:val="32"/>
          <w:szCs w:val="32"/>
        </w:rPr>
        <w:t>未安排</w:t>
      </w:r>
      <w:r w:rsidR="00907E8A">
        <w:rPr>
          <w:rFonts w:asciiTheme="minorEastAsia" w:eastAsiaTheme="minorEastAsia" w:hAnsiTheme="minorEastAsia" w:hint="eastAsia"/>
          <w:color w:val="000000" w:themeColor="text1"/>
          <w:sz w:val="32"/>
          <w:szCs w:val="32"/>
        </w:rPr>
        <w:t>外事出访活动</w:t>
      </w:r>
      <w:r>
        <w:rPr>
          <w:rFonts w:asciiTheme="minorEastAsia" w:eastAsiaTheme="minorEastAsia" w:hAnsiTheme="minorEastAsia" w:hint="eastAsia"/>
          <w:color w:val="000000" w:themeColor="text1"/>
          <w:sz w:val="32"/>
          <w:szCs w:val="32"/>
        </w:rPr>
        <w:t>。</w:t>
      </w:r>
    </w:p>
    <w:p w14:paraId="2BAFCFCC"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公务接待费支出预算为8.46万元，支出决算为0.21万元，完成预算的2.48%，决算数小于预算数的主要原因是接待人数减少，与上年相比减少0.26万元，减少55.32%,减少的主要原因是接待人数减少。</w:t>
      </w:r>
    </w:p>
    <w:p w14:paraId="12C3822E" w14:textId="1298F76C"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公务用车购置费支出预算为0万元，支出决算为0万元，</w:t>
      </w:r>
      <w:r w:rsidR="00907E8A">
        <w:rPr>
          <w:rFonts w:asciiTheme="minorEastAsia" w:eastAsiaTheme="minorEastAsia" w:hAnsiTheme="minorEastAsia" w:hint="eastAsia"/>
          <w:color w:val="000000" w:themeColor="text1"/>
          <w:sz w:val="32"/>
          <w:szCs w:val="32"/>
        </w:rPr>
        <w:t>由于预算数为0，无法计算百分比，</w:t>
      </w:r>
      <w:r w:rsidR="00C55880">
        <w:rPr>
          <w:rFonts w:asciiTheme="minorEastAsia" w:eastAsiaTheme="minorEastAsia" w:hAnsiTheme="minorEastAsia" w:hint="eastAsia"/>
          <w:color w:val="000000" w:themeColor="text1"/>
          <w:sz w:val="32"/>
          <w:szCs w:val="32"/>
        </w:rPr>
        <w:t>主要原因为本年未购置公务用车，</w:t>
      </w:r>
      <w:r>
        <w:rPr>
          <w:rFonts w:asciiTheme="minorEastAsia" w:eastAsiaTheme="minorEastAsia" w:hAnsiTheme="minorEastAsia" w:hint="eastAsia"/>
          <w:color w:val="000000" w:themeColor="text1"/>
          <w:sz w:val="32"/>
          <w:szCs w:val="32"/>
        </w:rPr>
        <w:t>与上年相比</w:t>
      </w:r>
      <w:r w:rsidR="00C55880">
        <w:rPr>
          <w:rFonts w:asciiTheme="minorEastAsia" w:eastAsiaTheme="minorEastAsia" w:hAnsiTheme="minorEastAsia" w:hint="eastAsia"/>
          <w:color w:val="000000" w:themeColor="text1"/>
          <w:sz w:val="32"/>
          <w:szCs w:val="32"/>
        </w:rPr>
        <w:t>无变化，</w:t>
      </w:r>
      <w:r w:rsidR="00C55880">
        <w:rPr>
          <w:rFonts w:asciiTheme="minorEastAsia" w:eastAsiaTheme="minorEastAsia" w:hAnsiTheme="minorEastAsia" w:hint="eastAsia"/>
          <w:color w:val="000000" w:themeColor="text1"/>
          <w:sz w:val="32"/>
          <w:szCs w:val="32"/>
        </w:rPr>
        <w:t>主要原因</w:t>
      </w:r>
      <w:r w:rsidR="00C55880">
        <w:rPr>
          <w:rFonts w:asciiTheme="minorEastAsia" w:eastAsiaTheme="minorEastAsia" w:hAnsiTheme="minorEastAsia" w:hint="eastAsia"/>
          <w:color w:val="000000" w:themeColor="text1"/>
          <w:sz w:val="32"/>
          <w:szCs w:val="32"/>
        </w:rPr>
        <w:t>是两</w:t>
      </w:r>
      <w:r w:rsidR="00C55880">
        <w:rPr>
          <w:rFonts w:asciiTheme="minorEastAsia" w:eastAsiaTheme="minorEastAsia" w:hAnsiTheme="minorEastAsia" w:hint="eastAsia"/>
          <w:color w:val="000000" w:themeColor="text1"/>
          <w:sz w:val="32"/>
          <w:szCs w:val="32"/>
        </w:rPr>
        <w:t>年</w:t>
      </w:r>
      <w:r w:rsidR="00C55880">
        <w:rPr>
          <w:rFonts w:asciiTheme="minorEastAsia" w:eastAsiaTheme="minorEastAsia" w:hAnsiTheme="minorEastAsia" w:hint="eastAsia"/>
          <w:color w:val="000000" w:themeColor="text1"/>
          <w:sz w:val="32"/>
          <w:szCs w:val="32"/>
        </w:rPr>
        <w:t>均</w:t>
      </w:r>
      <w:r w:rsidR="00C55880">
        <w:rPr>
          <w:rFonts w:asciiTheme="minorEastAsia" w:eastAsiaTheme="minorEastAsia" w:hAnsiTheme="minorEastAsia" w:hint="eastAsia"/>
          <w:color w:val="000000" w:themeColor="text1"/>
          <w:sz w:val="32"/>
          <w:szCs w:val="32"/>
        </w:rPr>
        <w:t>未购置公务用车</w:t>
      </w:r>
      <w:r>
        <w:rPr>
          <w:rFonts w:asciiTheme="minorEastAsia" w:eastAsiaTheme="minorEastAsia" w:hAnsiTheme="minorEastAsia" w:hint="eastAsia"/>
          <w:color w:val="000000" w:themeColor="text1"/>
          <w:sz w:val="32"/>
          <w:szCs w:val="32"/>
        </w:rPr>
        <w:t>。</w:t>
      </w:r>
    </w:p>
    <w:p w14:paraId="7165D39C"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公务用车运行维护费支出预算为36.60万元，支出决算为12.96万元，完成预算的35.41%，决算数小于预算数的主要原因是公务用车运行维护费减少，与上年相比减少1.05万元，减少7.49%,减少的主要原因是公务用车运行维护费减少。</w:t>
      </w:r>
    </w:p>
    <w:p w14:paraId="6A73EAA6" w14:textId="77777777" w:rsidR="0075221D" w:rsidRDefault="00000000">
      <w:pPr>
        <w:pStyle w:val="Default"/>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（二）“三公”经费财政拨款支出决算具体情况说明</w:t>
      </w:r>
    </w:p>
    <w:p w14:paraId="7BFDE08E"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2021年度“三公”经费财政拨款支出决算中，公务接待费支出决算0.21万元，占1.59%,因公出国（境）费支出决算0万元，占0%,公务用车购置费及运行维护费支出决算12.96万元，占98.41%。其中：</w:t>
      </w:r>
    </w:p>
    <w:p w14:paraId="559CAA43"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1、因公出国（境）费支出决算为0万元，全年安排因公出国（境）团组0个，累计0人次。</w:t>
      </w:r>
    </w:p>
    <w:p w14:paraId="763C9DC9"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2、公务接待费支出决算为0.21万元，全年共接待来访团组1个、来宾</w:t>
      </w:r>
      <w:r>
        <w:rPr>
          <w:rFonts w:asciiTheme="minorEastAsia" w:eastAsiaTheme="minorEastAsia" w:hAnsiTheme="minorEastAsia" w:hint="eastAsia"/>
          <w:color w:val="000000" w:themeColor="text1"/>
          <w:sz w:val="32"/>
          <w:szCs w:val="32"/>
        </w:rPr>
        <w:lastRenderedPageBreak/>
        <w:t>11人次，陪同人数4人，主要是梧州市城市管理执法支队来岳考察学习接待支出。</w:t>
      </w:r>
    </w:p>
    <w:p w14:paraId="0E7E12DF" w14:textId="77777777" w:rsidR="0075221D" w:rsidRDefault="00000000">
      <w:pPr>
        <w:ind w:firstLineChars="200" w:firstLine="640"/>
        <w:rPr>
          <w:rFonts w:asciiTheme="minorEastAsia" w:hAnsiTheme="minorEastAsia" w:cs="黑体"/>
          <w:color w:val="000000" w:themeColor="text1"/>
          <w:kern w:val="0"/>
          <w:sz w:val="32"/>
          <w:szCs w:val="32"/>
        </w:rPr>
      </w:pPr>
      <w:r>
        <w:rPr>
          <w:rFonts w:asciiTheme="minorEastAsia" w:hAnsiTheme="minorEastAsia" w:hint="eastAsia"/>
          <w:color w:val="000000" w:themeColor="text1"/>
          <w:sz w:val="32"/>
          <w:szCs w:val="32"/>
        </w:rPr>
        <w:t>3、公务用车购置费及运行维护费支出决算为12.96万元，其中：公务用车购置费0万元。公务用车运行维护费12.96万元，主要是油料费、维修费、保险费等支出。截止2021年12月31日，我单位开支财政拨款的公务用车保有量为11辆，主要是1辆机要通信车及4辆执法执勤车发生的运行维护费。</w:t>
      </w:r>
    </w:p>
    <w:p w14:paraId="15A6A964"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八、政府性基金预算收入支出决算情况</w:t>
      </w:r>
    </w:p>
    <w:p w14:paraId="35BD1388" w14:textId="77777777" w:rsidR="0075221D" w:rsidRDefault="00000000">
      <w:pPr>
        <w:pStyle w:val="Default"/>
        <w:ind w:firstLineChars="250" w:firstLine="80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2021年度政府性基金预算财政拨款收入0万元；年初结转和结余0万元；支出0万元，其中基本支出0万元，项目支出0万元；年末结转和结余0万元。</w:t>
      </w:r>
    </w:p>
    <w:p w14:paraId="31A316B5" w14:textId="77777777" w:rsidR="0075221D" w:rsidRDefault="00000000">
      <w:pPr>
        <w:pStyle w:val="Default"/>
        <w:numPr>
          <w:ilvl w:val="0"/>
          <w:numId w:val="2"/>
        </w:numPr>
        <w:rPr>
          <w:rFonts w:hAnsi="黑体"/>
          <w:b/>
          <w:color w:val="000000" w:themeColor="text1"/>
          <w:sz w:val="32"/>
          <w:szCs w:val="32"/>
        </w:rPr>
      </w:pPr>
      <w:r>
        <w:rPr>
          <w:rFonts w:hAnsi="黑体" w:hint="eastAsia"/>
          <w:b/>
          <w:color w:val="000000" w:themeColor="text1"/>
          <w:sz w:val="32"/>
          <w:szCs w:val="32"/>
        </w:rPr>
        <w:t>国有资本经营预算财政拨款支出决算情况</w:t>
      </w:r>
    </w:p>
    <w:p w14:paraId="58AAF079"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2021年度国有资本经营预算财政拨款支出0万元；基本支出0万元，项目支出0万元。</w:t>
      </w:r>
    </w:p>
    <w:p w14:paraId="30D8402E"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十、机关运行经费支出说明</w:t>
      </w:r>
    </w:p>
    <w:p w14:paraId="7322DF9A"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本部门2021年度机关运行经费支出332.27万元，比上年决算数增加42.14 万元，增长14.52%。主要原因是支付了上年结转的4辆电动执法巡逻车购置费尾款。</w:t>
      </w:r>
    </w:p>
    <w:p w14:paraId="1BE90E4F"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十一、一般性支出情况说明</w:t>
      </w:r>
    </w:p>
    <w:p w14:paraId="56D6ADD0"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2021年本部门开支会议费1.58万元，用于召开支队2020年度工作总结会议（181人9398元）及全市禁炮工作推进会议（167人6400元）2次，人数348人，内容为总结支队2020年度工作、部署安排2021年度工作暨党风廉政建设工作以及岳阳市城区2021年禁炮工作推进；开支培训费2.04万元，用于开展业务培训等4次，人数74人，内容为内审培训（1人2150元）、会计</w:t>
      </w:r>
      <w:r>
        <w:rPr>
          <w:rFonts w:asciiTheme="minorEastAsia" w:eastAsiaTheme="minorEastAsia" w:hAnsiTheme="minorEastAsia" w:hint="eastAsia"/>
          <w:color w:val="000000" w:themeColor="text1"/>
          <w:sz w:val="32"/>
          <w:szCs w:val="32"/>
        </w:rPr>
        <w:lastRenderedPageBreak/>
        <w:t>继续教育培训（4人270元）、党校双基班培训（1人1920元）以及支队法制培训（68人16050元）等；未举办节庆、晚会、论坛、赛事活动，开支0万元。</w:t>
      </w:r>
    </w:p>
    <w:p w14:paraId="04D6D87C"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十二、政府采购支出说明</w:t>
      </w:r>
    </w:p>
    <w:p w14:paraId="413BD14F"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本部门2021年度政府采购支出总额91.88万元，其中：政府采购货物支出0万元、政府采购工程支出0万元、政府采购服务支出91.88万元。授予中小企业合同金额91.88万元，占政府采购支出总额的100%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100%。</w:t>
      </w:r>
    </w:p>
    <w:p w14:paraId="2ED98962"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十三、国有资产占用情况说明</w:t>
      </w:r>
    </w:p>
    <w:p w14:paraId="6A784B97" w14:textId="77777777" w:rsidR="0075221D" w:rsidRDefault="00000000">
      <w:pPr>
        <w:pStyle w:val="Default"/>
        <w:ind w:firstLineChars="200" w:firstLine="640"/>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截至2021年12月31日，部门（单位）共有车辆11辆，其中，主要领导干部用车0辆，机要通信用车1辆、应急保障用车0辆、执法执勤用车4辆、特种专业技术用车0辆、其他用车6辆，其他用车主要是皮卡车和扫障车；单位价值50万元以上通用设备0台（套）；单位价值100万元以上专用设备0台（套）。</w:t>
      </w:r>
    </w:p>
    <w:p w14:paraId="23F8DBA4" w14:textId="77777777" w:rsidR="0075221D" w:rsidRDefault="00000000">
      <w:pPr>
        <w:pStyle w:val="Default"/>
        <w:rPr>
          <w:rFonts w:hAnsi="黑体"/>
          <w:b/>
          <w:color w:val="000000" w:themeColor="text1"/>
          <w:sz w:val="32"/>
          <w:szCs w:val="32"/>
        </w:rPr>
      </w:pPr>
      <w:r>
        <w:rPr>
          <w:rFonts w:hAnsi="黑体" w:hint="eastAsia"/>
          <w:b/>
          <w:color w:val="000000" w:themeColor="text1"/>
          <w:sz w:val="32"/>
          <w:szCs w:val="32"/>
        </w:rPr>
        <w:t>十四、2021年度预算绩效情况说明</w:t>
      </w:r>
    </w:p>
    <w:p w14:paraId="1D0ED8C1" w14:textId="77777777" w:rsidR="0075221D" w:rsidRDefault="00000000">
      <w:pPr>
        <w:autoSpaceDE w:val="0"/>
        <w:autoSpaceDN w:val="0"/>
        <w:adjustRightInd w:val="0"/>
        <w:ind w:firstLineChars="200" w:firstLine="643"/>
        <w:jc w:val="left"/>
        <w:rPr>
          <w:rFonts w:asciiTheme="minorEastAsia" w:hAnsiTheme="minorEastAsia" w:cs="黑体"/>
          <w:color w:val="000000" w:themeColor="text1"/>
          <w:kern w:val="0"/>
          <w:sz w:val="32"/>
          <w:szCs w:val="32"/>
        </w:rPr>
      </w:pPr>
      <w:r>
        <w:rPr>
          <w:rFonts w:asciiTheme="minorEastAsia" w:hAnsiTheme="minorEastAsia" w:cs="黑体" w:hint="eastAsia"/>
          <w:b/>
          <w:color w:val="000000" w:themeColor="text1"/>
          <w:kern w:val="0"/>
          <w:sz w:val="32"/>
          <w:szCs w:val="32"/>
        </w:rPr>
        <w:t>（1）绩效管理评价工作开展情况</w:t>
      </w:r>
      <w:r>
        <w:rPr>
          <w:rFonts w:asciiTheme="minorEastAsia" w:hAnsiTheme="minorEastAsia" w:cs="黑体" w:hint="eastAsia"/>
          <w:color w:val="000000" w:themeColor="text1"/>
          <w:kern w:val="0"/>
          <w:sz w:val="32"/>
          <w:szCs w:val="32"/>
        </w:rPr>
        <w:t>。</w:t>
      </w:r>
    </w:p>
    <w:p w14:paraId="5D9E241A" w14:textId="77777777" w:rsidR="0075221D" w:rsidRDefault="00000000">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根据预算绩效管理要求，我部门组织对</w:t>
      </w:r>
      <w:r>
        <w:rPr>
          <w:rFonts w:asciiTheme="minorEastAsia" w:hAnsiTheme="minorEastAsia" w:cs="黑体"/>
          <w:color w:val="000000" w:themeColor="text1"/>
          <w:kern w:val="0"/>
          <w:sz w:val="32"/>
          <w:szCs w:val="32"/>
        </w:rPr>
        <w:t>2021</w:t>
      </w:r>
      <w:r>
        <w:rPr>
          <w:rFonts w:asciiTheme="minorEastAsia" w:hAnsiTheme="minorEastAsia" w:cs="黑体" w:hint="eastAsia"/>
          <w:color w:val="000000" w:themeColor="text1"/>
          <w:kern w:val="0"/>
          <w:sz w:val="32"/>
          <w:szCs w:val="32"/>
        </w:rPr>
        <w:t>年度一般公共预算项目支出全面开展绩效自评，其中，一级项目0个，二级项目0个，共涉及资金0万元，占一般公共预算项目支出总额的0</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。组织对</w:t>
      </w:r>
      <w:r>
        <w:rPr>
          <w:rFonts w:asciiTheme="minorEastAsia" w:hAnsiTheme="minorEastAsia" w:cs="黑体"/>
          <w:color w:val="000000" w:themeColor="text1"/>
          <w:kern w:val="0"/>
          <w:sz w:val="32"/>
          <w:szCs w:val="32"/>
        </w:rPr>
        <w:t>2021</w:t>
      </w:r>
      <w:r>
        <w:rPr>
          <w:rFonts w:asciiTheme="minorEastAsia" w:hAnsiTheme="minorEastAsia" w:cs="黑体" w:hint="eastAsia"/>
          <w:color w:val="000000" w:themeColor="text1"/>
          <w:kern w:val="0"/>
          <w:sz w:val="32"/>
          <w:szCs w:val="32"/>
        </w:rPr>
        <w:t>年度0个政府性基金预算项目支出开展绩效自评，共涉及资金0万元，占政府性基金预算项目支出总额的0</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。组织对</w:t>
      </w:r>
      <w:r>
        <w:rPr>
          <w:rFonts w:asciiTheme="minorEastAsia" w:hAnsiTheme="minorEastAsia" w:cs="黑体"/>
          <w:color w:val="000000" w:themeColor="text1"/>
          <w:kern w:val="0"/>
          <w:sz w:val="32"/>
          <w:szCs w:val="32"/>
        </w:rPr>
        <w:t>2021</w:t>
      </w:r>
      <w:r>
        <w:rPr>
          <w:rFonts w:asciiTheme="minorEastAsia" w:hAnsiTheme="minorEastAsia" w:cs="黑体" w:hint="eastAsia"/>
          <w:color w:val="000000" w:themeColor="text1"/>
          <w:kern w:val="0"/>
          <w:sz w:val="32"/>
          <w:szCs w:val="32"/>
        </w:rPr>
        <w:t>年度0个国有资本经营预算项目支出开展绩效自评，共涉及资金0万元，占国有资本经营预算项目支出总额的0</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w:t>
      </w:r>
    </w:p>
    <w:p w14:paraId="16DBD7EF" w14:textId="77777777" w:rsidR="0075221D" w:rsidRDefault="00000000">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lastRenderedPageBreak/>
        <w:t>组织对0个项目开展了部门评价，涉及一般公共预算支出0万元，政府性基金预算支出0万元，国有资本经营预算支出0万元。</w:t>
      </w:r>
    </w:p>
    <w:p w14:paraId="0AF7A12D" w14:textId="77777777" w:rsidR="0075221D" w:rsidRDefault="00000000">
      <w:pPr>
        <w:autoSpaceDE w:val="0"/>
        <w:autoSpaceDN w:val="0"/>
        <w:adjustRightInd w:val="0"/>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组织对岳阳市城市管理综合行政执法支队等1个单位开展整体支出绩效评价，涉及一般公共预算支出3370.31万元，政府性基金预算支出0万元。从评价情况来看，根据年初设定的绩效目标，2021年度整体支出绩效自评得分为97分。全年预算数为3029.36万元，执行数为3696.83万元，完成预算的122.03</w:t>
      </w:r>
      <w:r>
        <w:rPr>
          <w:rFonts w:asciiTheme="minorEastAsia" w:hAnsiTheme="minorEastAsia" w:cs="黑体"/>
          <w:color w:val="000000" w:themeColor="text1"/>
          <w:kern w:val="0"/>
          <w:sz w:val="32"/>
          <w:szCs w:val="32"/>
        </w:rPr>
        <w:t>%</w:t>
      </w:r>
      <w:r>
        <w:rPr>
          <w:rFonts w:asciiTheme="minorEastAsia" w:hAnsiTheme="minorEastAsia" w:cs="黑体" w:hint="eastAsia"/>
          <w:color w:val="000000" w:themeColor="text1"/>
          <w:kern w:val="0"/>
          <w:sz w:val="32"/>
          <w:szCs w:val="32"/>
        </w:rPr>
        <w:t>。</w:t>
      </w:r>
    </w:p>
    <w:p w14:paraId="58EEFB69" w14:textId="137F221F" w:rsidR="0075221D" w:rsidRDefault="00000000">
      <w:pPr>
        <w:autoSpaceDE w:val="0"/>
        <w:autoSpaceDN w:val="0"/>
        <w:adjustRightInd w:val="0"/>
        <w:ind w:firstLineChars="200" w:firstLine="643"/>
        <w:jc w:val="left"/>
        <w:rPr>
          <w:rFonts w:asciiTheme="minorEastAsia" w:hAnsiTheme="minorEastAsia" w:cs="黑体"/>
          <w:b/>
          <w:color w:val="000000" w:themeColor="text1"/>
          <w:kern w:val="0"/>
          <w:sz w:val="32"/>
          <w:szCs w:val="32"/>
        </w:rPr>
      </w:pPr>
      <w:r>
        <w:rPr>
          <w:rFonts w:asciiTheme="minorEastAsia" w:hAnsiTheme="minorEastAsia" w:cs="黑体" w:hint="eastAsia"/>
          <w:b/>
          <w:color w:val="000000" w:themeColor="text1"/>
          <w:kern w:val="0"/>
          <w:sz w:val="32"/>
          <w:szCs w:val="32"/>
        </w:rPr>
        <w:t>（2）部门决算中项目绩效自评结果。</w:t>
      </w:r>
    </w:p>
    <w:p w14:paraId="639B2ADC" w14:textId="77777777" w:rsidR="000E7CF5" w:rsidRDefault="00000000" w:rsidP="000E7CF5">
      <w:pPr>
        <w:ind w:firstLineChars="200" w:firstLine="640"/>
        <w:rPr>
          <w:rFonts w:ascii="宋体" w:eastAsia="宋体" w:hAnsi="宋体" w:cs="宋体"/>
          <w:color w:val="000000" w:themeColor="text1"/>
          <w:sz w:val="32"/>
          <w:szCs w:val="32"/>
        </w:rPr>
      </w:pPr>
      <w:r>
        <w:rPr>
          <w:rFonts w:asciiTheme="minorEastAsia" w:hAnsiTheme="minorEastAsia" w:cs="黑体" w:hint="eastAsia"/>
          <w:color w:val="000000" w:themeColor="text1"/>
          <w:kern w:val="0"/>
          <w:sz w:val="32"/>
          <w:szCs w:val="32"/>
        </w:rPr>
        <w:t>本单位只有整体支出绩效自评，没有项目支出绩效自评。</w:t>
      </w:r>
      <w:r w:rsidR="000E7CF5">
        <w:rPr>
          <w:rFonts w:asciiTheme="minorEastAsia" w:hAnsiTheme="minorEastAsia" w:cs="黑体" w:hint="eastAsia"/>
          <w:color w:val="000000" w:themeColor="text1"/>
          <w:kern w:val="0"/>
          <w:sz w:val="32"/>
          <w:szCs w:val="32"/>
        </w:rPr>
        <w:t>项目绩效目标完成情况：</w:t>
      </w:r>
      <w:r w:rsidR="000E7CF5">
        <w:rPr>
          <w:rFonts w:ascii="宋体" w:eastAsia="宋体" w:hAnsi="宋体" w:cs="宋体" w:hint="eastAsia"/>
          <w:color w:val="000000" w:themeColor="text1"/>
          <w:kern w:val="0"/>
          <w:sz w:val="32"/>
          <w:szCs w:val="32"/>
        </w:rPr>
        <w:t>一是</w:t>
      </w:r>
      <w:r w:rsidR="000E7CF5">
        <w:rPr>
          <w:rFonts w:ascii="宋体" w:eastAsia="宋体" w:hAnsi="宋体" w:cs="宋体" w:hint="eastAsia"/>
          <w:color w:val="000000" w:themeColor="text1"/>
          <w:sz w:val="32"/>
          <w:szCs w:val="32"/>
          <w:shd w:val="clear" w:color="auto" w:fill="FFFFFF"/>
        </w:rPr>
        <w:t>履行本部门职责职能，各部门年初目标任务完成较好；二是预算成本控制较好，整体支出绩效良好，达到既定的目标要求。</w:t>
      </w:r>
      <w:r w:rsidR="000E7CF5">
        <w:rPr>
          <w:rFonts w:ascii="宋体" w:eastAsia="宋体" w:hAnsi="宋体" w:cs="宋体" w:hint="eastAsia"/>
          <w:color w:val="000000" w:themeColor="text1"/>
          <w:kern w:val="0"/>
          <w:sz w:val="32"/>
          <w:szCs w:val="32"/>
        </w:rPr>
        <w:t>发现的主要问题及原因：一是</w:t>
      </w:r>
      <w:r w:rsidR="000E7CF5">
        <w:rPr>
          <w:rFonts w:ascii="宋体" w:eastAsia="宋体" w:hAnsi="宋体" w:cs="宋体" w:hint="eastAsia"/>
          <w:color w:val="000000" w:themeColor="text1"/>
          <w:sz w:val="32"/>
          <w:szCs w:val="32"/>
        </w:rPr>
        <w:t>预算编制不够精</w:t>
      </w:r>
      <w:r w:rsidR="000E7CF5">
        <w:rPr>
          <w:rFonts w:ascii="宋体" w:eastAsia="宋体" w:hAnsi="宋体" w:cs="宋体" w:hint="eastAsia"/>
          <w:bCs/>
          <w:color w:val="000000" w:themeColor="text1"/>
          <w:sz w:val="32"/>
          <w:szCs w:val="32"/>
        </w:rPr>
        <w:t>准，</w:t>
      </w:r>
      <w:r w:rsidR="000E7CF5">
        <w:rPr>
          <w:rFonts w:ascii="宋体" w:eastAsia="宋体" w:hAnsi="宋体" w:cs="宋体" w:hint="eastAsia"/>
          <w:color w:val="000000" w:themeColor="text1"/>
          <w:sz w:val="32"/>
          <w:szCs w:val="32"/>
        </w:rPr>
        <w:t>预算调整率为20.20%</w:t>
      </w:r>
      <w:r w:rsidR="000E7CF5">
        <w:rPr>
          <w:rFonts w:ascii="宋体" w:eastAsia="宋体" w:hAnsi="宋体" w:cs="宋体" w:hint="eastAsia"/>
          <w:color w:val="000000" w:themeColor="text1"/>
          <w:kern w:val="0"/>
          <w:sz w:val="32"/>
          <w:szCs w:val="32"/>
        </w:rPr>
        <w:t>；二是</w:t>
      </w:r>
      <w:r w:rsidR="000E7CF5">
        <w:rPr>
          <w:rFonts w:ascii="宋体" w:eastAsia="宋体" w:hAnsi="宋体" w:cs="宋体" w:hint="eastAsia"/>
          <w:color w:val="000000" w:themeColor="text1"/>
          <w:sz w:val="32"/>
          <w:szCs w:val="32"/>
        </w:rPr>
        <w:t>执法保障不强；三是工作方法不活，机制方法有待创新；四是常态化管理水平有待提升</w:t>
      </w:r>
      <w:r w:rsidR="000E7CF5">
        <w:rPr>
          <w:rFonts w:ascii="宋体" w:eastAsia="宋体" w:hAnsi="宋体" w:cs="宋体" w:hint="eastAsia"/>
          <w:color w:val="000000" w:themeColor="text1"/>
          <w:kern w:val="0"/>
          <w:sz w:val="32"/>
          <w:szCs w:val="32"/>
        </w:rPr>
        <w:t>。下一步改进措施：一是</w:t>
      </w:r>
      <w:r w:rsidR="000E7CF5">
        <w:rPr>
          <w:rFonts w:ascii="宋体" w:eastAsia="宋体" w:hAnsi="宋体" w:cs="宋体" w:hint="eastAsia"/>
          <w:color w:val="000000" w:themeColor="text1"/>
          <w:sz w:val="32"/>
          <w:szCs w:val="32"/>
        </w:rPr>
        <w:t>提高预算编制的精准度。在对历年支出进行汇总分析的基础上，及时掌握来年重点工作的有关信息，提高预算编制的准确性</w:t>
      </w:r>
      <w:r w:rsidR="000E7CF5">
        <w:rPr>
          <w:rFonts w:ascii="宋体" w:eastAsia="宋体" w:hAnsi="宋体" w:cs="宋体" w:hint="eastAsia"/>
          <w:color w:val="000000" w:themeColor="text1"/>
          <w:kern w:val="0"/>
          <w:sz w:val="32"/>
          <w:szCs w:val="32"/>
        </w:rPr>
        <w:t>；二是</w:t>
      </w:r>
      <w:r w:rsidR="000E7CF5">
        <w:rPr>
          <w:rFonts w:ascii="宋体" w:eastAsia="宋体" w:hAnsi="宋体" w:cs="宋体" w:hint="eastAsia"/>
          <w:color w:val="000000" w:themeColor="text1"/>
          <w:sz w:val="32"/>
          <w:szCs w:val="32"/>
        </w:rPr>
        <w:t>加强干部队伍建设，结合职能职责和执法定位，采取“走出去”和“请进来”的交流学习方式，迅速补齐业务知识短板和执行能力弱项，实现队伍的高质量发展；三是</w:t>
      </w:r>
      <w:r w:rsidR="000E7CF5">
        <w:rPr>
          <w:rFonts w:ascii="宋体" w:eastAsia="宋体" w:hAnsi="宋体" w:cs="宋体" w:hint="eastAsia"/>
          <w:bCs/>
          <w:color w:val="000000" w:themeColor="text1"/>
          <w:sz w:val="32"/>
          <w:szCs w:val="32"/>
        </w:rPr>
        <w:t>以法制思维规范执法流程，保障执法公平高效；四是</w:t>
      </w:r>
      <w:r w:rsidR="000E7CF5">
        <w:rPr>
          <w:rFonts w:ascii="宋体" w:eastAsia="宋体" w:hAnsi="宋体" w:cs="宋体" w:hint="eastAsia"/>
          <w:color w:val="000000" w:themeColor="text1"/>
          <w:sz w:val="32"/>
          <w:szCs w:val="32"/>
        </w:rPr>
        <w:t>加快建立“案源、处置、执行、公示”执法闭环和城管、住建、社区等部门联动机制，进一步提升各类案件处置率和满意度。</w:t>
      </w:r>
    </w:p>
    <w:p w14:paraId="3C62552C" w14:textId="77777777" w:rsidR="0075221D" w:rsidRDefault="00000000">
      <w:pPr>
        <w:autoSpaceDE w:val="0"/>
        <w:autoSpaceDN w:val="0"/>
        <w:adjustRightInd w:val="0"/>
        <w:ind w:firstLineChars="200" w:firstLine="643"/>
        <w:jc w:val="left"/>
        <w:rPr>
          <w:rFonts w:asciiTheme="minorEastAsia" w:hAnsiTheme="minorEastAsia" w:cs="黑体"/>
          <w:color w:val="000000" w:themeColor="text1"/>
          <w:kern w:val="0"/>
          <w:sz w:val="32"/>
          <w:szCs w:val="32"/>
        </w:rPr>
      </w:pPr>
      <w:r>
        <w:rPr>
          <w:rFonts w:asciiTheme="minorEastAsia" w:hAnsiTheme="minorEastAsia" w:cs="黑体" w:hint="eastAsia"/>
          <w:b/>
          <w:color w:val="000000" w:themeColor="text1"/>
          <w:kern w:val="0"/>
          <w:sz w:val="32"/>
          <w:szCs w:val="32"/>
        </w:rPr>
        <w:t>（</w:t>
      </w:r>
      <w:r>
        <w:rPr>
          <w:rFonts w:asciiTheme="minorEastAsia" w:hAnsiTheme="minorEastAsia" w:cs="黑体"/>
          <w:b/>
          <w:color w:val="000000" w:themeColor="text1"/>
          <w:kern w:val="0"/>
          <w:sz w:val="32"/>
          <w:szCs w:val="32"/>
        </w:rPr>
        <w:t>3</w:t>
      </w:r>
      <w:r>
        <w:rPr>
          <w:rFonts w:asciiTheme="minorEastAsia" w:hAnsiTheme="minorEastAsia" w:cs="黑体" w:hint="eastAsia"/>
          <w:b/>
          <w:color w:val="000000" w:themeColor="text1"/>
          <w:kern w:val="0"/>
          <w:sz w:val="32"/>
          <w:szCs w:val="32"/>
        </w:rPr>
        <w:t>）部门评价项目绩效评价结果。</w:t>
      </w:r>
    </w:p>
    <w:p w14:paraId="1377EAA1" w14:textId="5639ED46" w:rsidR="0075221D" w:rsidRDefault="000E7CF5" w:rsidP="000E7CF5">
      <w:pPr>
        <w:pStyle w:val="a0"/>
        <w:ind w:firstLineChars="200" w:firstLine="640"/>
        <w:rPr>
          <w:color w:val="000000" w:themeColor="text1"/>
          <w:sz w:val="32"/>
          <w:szCs w:val="32"/>
        </w:rPr>
      </w:pPr>
      <w:r w:rsidRPr="000E7CF5">
        <w:rPr>
          <w:rFonts w:hint="eastAsia"/>
          <w:color w:val="000000" w:themeColor="text1"/>
          <w:sz w:val="32"/>
          <w:szCs w:val="32"/>
        </w:rPr>
        <w:t>绩效管理工作开展顺利，部门决算中项目自评结果为优秀，部门评价项目绩效结果为优秀</w:t>
      </w:r>
      <w:r w:rsidR="00390D43">
        <w:rPr>
          <w:rFonts w:hint="eastAsia"/>
          <w:color w:val="000000" w:themeColor="text1"/>
          <w:sz w:val="32"/>
          <w:szCs w:val="32"/>
        </w:rPr>
        <w:t>，没有以部门为主体开展的重点绩效项目及评价结果。</w:t>
      </w:r>
    </w:p>
    <w:p w14:paraId="38ED2E26" w14:textId="625897DC" w:rsidR="0075221D" w:rsidRPr="00667951" w:rsidRDefault="000E7CF5" w:rsidP="00667951">
      <w:pPr>
        <w:pStyle w:val="TOC5"/>
        <w:ind w:leftChars="0" w:left="0"/>
        <w:rPr>
          <w:sz w:val="32"/>
          <w:szCs w:val="32"/>
        </w:rPr>
      </w:pPr>
      <w:r>
        <w:rPr>
          <w:rFonts w:hint="eastAsia"/>
        </w:rPr>
        <w:t xml:space="preserve"> </w:t>
      </w:r>
      <w:r>
        <w:t xml:space="preserve"> </w:t>
      </w:r>
      <w:r w:rsidRPr="000E7CF5">
        <w:rPr>
          <w:sz w:val="32"/>
          <w:szCs w:val="32"/>
        </w:rPr>
        <w:t xml:space="preserve"> </w:t>
      </w:r>
      <w:r>
        <w:rPr>
          <w:sz w:val="32"/>
          <w:szCs w:val="32"/>
        </w:rPr>
        <w:t xml:space="preserve">  </w:t>
      </w:r>
      <w:r w:rsidRPr="000E7CF5">
        <w:rPr>
          <w:rFonts w:hint="eastAsia"/>
          <w:sz w:val="32"/>
          <w:szCs w:val="32"/>
        </w:rPr>
        <w:t>预算绩效管理开展情况。绩效目标和绩效评价报告等一并作为附件公开。</w:t>
      </w:r>
    </w:p>
    <w:p w14:paraId="7E103BF2" w14:textId="77777777" w:rsidR="0075221D" w:rsidRDefault="00000000">
      <w:pPr>
        <w:pStyle w:val="Default"/>
        <w:jc w:val="center"/>
        <w:rPr>
          <w:color w:val="000000" w:themeColor="text1"/>
          <w:sz w:val="52"/>
          <w:szCs w:val="52"/>
        </w:rPr>
      </w:pPr>
      <w:r>
        <w:rPr>
          <w:rFonts w:hint="eastAsia"/>
          <w:color w:val="000000" w:themeColor="text1"/>
          <w:sz w:val="52"/>
          <w:szCs w:val="52"/>
        </w:rPr>
        <w:lastRenderedPageBreak/>
        <w:t>第四部分</w:t>
      </w:r>
    </w:p>
    <w:p w14:paraId="4FD8B271" w14:textId="77777777" w:rsidR="0075221D" w:rsidRDefault="0075221D">
      <w:pPr>
        <w:jc w:val="center"/>
        <w:rPr>
          <w:rFonts w:ascii="黑体" w:eastAsia="黑体" w:cs="黑体"/>
          <w:color w:val="000000" w:themeColor="text1"/>
          <w:kern w:val="0"/>
          <w:sz w:val="52"/>
          <w:szCs w:val="52"/>
        </w:rPr>
      </w:pPr>
    </w:p>
    <w:p w14:paraId="474278E2" w14:textId="77777777" w:rsidR="0075221D" w:rsidRDefault="00000000">
      <w:pPr>
        <w:jc w:val="center"/>
        <w:rPr>
          <w:rFonts w:ascii="黑体" w:eastAsia="黑体" w:cs="黑体"/>
          <w:color w:val="000000" w:themeColor="text1"/>
          <w:kern w:val="0"/>
          <w:sz w:val="52"/>
          <w:szCs w:val="52"/>
        </w:rPr>
      </w:pPr>
      <w:r>
        <w:rPr>
          <w:rFonts w:ascii="黑体" w:eastAsia="黑体" w:cs="黑体" w:hint="eastAsia"/>
          <w:color w:val="000000" w:themeColor="text1"/>
          <w:kern w:val="0"/>
          <w:sz w:val="52"/>
          <w:szCs w:val="52"/>
        </w:rPr>
        <w:t>名词解释</w:t>
      </w:r>
    </w:p>
    <w:p w14:paraId="5C245C27" w14:textId="77777777" w:rsidR="0075221D" w:rsidRDefault="0075221D">
      <w:pPr>
        <w:pStyle w:val="a0"/>
        <w:rPr>
          <w:color w:val="000000" w:themeColor="text1"/>
        </w:rPr>
      </w:pPr>
    </w:p>
    <w:p w14:paraId="79F02D24" w14:textId="77777777" w:rsidR="0075221D" w:rsidRDefault="00000000">
      <w:pPr>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E00AA47" w14:textId="77777777" w:rsidR="0075221D" w:rsidRDefault="00000000">
      <w:pPr>
        <w:ind w:firstLineChars="200" w:firstLine="640"/>
        <w:jc w:val="left"/>
        <w:rPr>
          <w:rFonts w:asciiTheme="minorEastAsia" w:hAnsiTheme="minorEastAsia" w:cs="黑体"/>
          <w:color w:val="000000" w:themeColor="text1"/>
          <w:kern w:val="0"/>
          <w:sz w:val="32"/>
          <w:szCs w:val="32"/>
        </w:rPr>
      </w:pPr>
      <w:r>
        <w:rPr>
          <w:rFonts w:asciiTheme="minorEastAsia" w:hAnsiTheme="minorEastAsia" w:cs="黑体" w:hint="eastAsia"/>
          <w:color w:val="000000" w:themeColor="text1"/>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4A91245C" w14:textId="77777777" w:rsidR="0075221D" w:rsidRDefault="00000000">
      <w:pPr>
        <w:ind w:firstLineChars="200" w:firstLine="640"/>
        <w:jc w:val="left"/>
        <w:rPr>
          <w:rFonts w:ascii="宋体" w:eastAsia="宋体" w:hAnsi="宋体"/>
          <w:color w:val="000000" w:themeColor="text1"/>
          <w:kern w:val="0"/>
          <w:sz w:val="32"/>
          <w:highlight w:val="white"/>
        </w:rPr>
      </w:pPr>
      <w:r>
        <w:rPr>
          <w:rFonts w:asciiTheme="minorEastAsia" w:hAnsiTheme="minorEastAsia" w:cs="黑体" w:hint="eastAsia"/>
          <w:color w:val="000000" w:themeColor="text1"/>
          <w:kern w:val="0"/>
          <w:sz w:val="32"/>
          <w:szCs w:val="32"/>
        </w:rPr>
        <w:t>三、</w:t>
      </w:r>
      <w:r>
        <w:rPr>
          <w:rFonts w:ascii="宋体" w:eastAsia="宋体" w:hAnsi="宋体" w:hint="eastAsia"/>
          <w:color w:val="000000" w:themeColor="text1"/>
          <w:kern w:val="0"/>
          <w:sz w:val="32"/>
          <w:highlight w:val="white"/>
        </w:rPr>
        <w:t>城乡社区支出（类）：是指用于城乡社区事务支出，包括保障机构正常运转、完成日常和特定的工作任务或事业发展目标的支出。</w:t>
      </w:r>
    </w:p>
    <w:p w14:paraId="3D2CAA99"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四、财政拨款收入：指本级财政当年拨付的资金。</w:t>
      </w:r>
    </w:p>
    <w:p w14:paraId="75998CDD"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五、基本支出：指保障机构正常运转、完成支日常工作任务而发生的人员支出和公用支出。</w:t>
      </w:r>
    </w:p>
    <w:p w14:paraId="1EBDFFF6"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工资福利支出：反映单位开支的在职职工和编制外长期聘用人员的各类劳动报酬，以及为上述人员缴纳的各项社会保险费等。</w:t>
      </w:r>
    </w:p>
    <w:p w14:paraId="7A1135A3"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基本工资：反映按规定发放的基本工资，包括公务员的职务工资、级别工资；机关工人的岗位工资、技术等级工资；事业单位工作人员的岗位</w:t>
      </w:r>
      <w:r>
        <w:rPr>
          <w:rFonts w:ascii="宋体" w:eastAsia="宋体" w:hAnsi="宋体" w:hint="eastAsia"/>
          <w:color w:val="000000" w:themeColor="text1"/>
          <w:kern w:val="0"/>
          <w:sz w:val="32"/>
          <w:highlight w:val="white"/>
        </w:rPr>
        <w:lastRenderedPageBreak/>
        <w:t>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14:paraId="0143B40A"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绩效工资：反映事业单位工作人员的绩效工资。</w:t>
      </w:r>
    </w:p>
    <w:p w14:paraId="1D5EA6FF"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机关事业单位基本养老保险缴费：反映机关事业单位缴纳的基本养老保险费。由单位代扣的工作人员基本养老保险缴费，不在此科目反映。</w:t>
      </w:r>
    </w:p>
    <w:p w14:paraId="5339436D"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职业年金缴费：反映机关事业单位实际缴纳的职业年金支出。由单位代扣的工作人员职业年金缴费，不在此科目反映。</w:t>
      </w:r>
    </w:p>
    <w:p w14:paraId="56DC9A2E"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职工基本医疗保险缴费：反映单位为职工缴纳的基本医疗保险费。</w:t>
      </w:r>
    </w:p>
    <w:p w14:paraId="6813B651"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其他社会保障缴费：反映单位为职工缴纳的基本医疗、失业、工伤、生育等社会保险费，残疾人就业保障金，军队（含武警）为军人缴纳的伤亡、退役医疗等社会保险费。</w:t>
      </w:r>
    </w:p>
    <w:p w14:paraId="574638EF"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住房公积金：反映行政事业单位按人力资源和社会保障部、财政部规定的基本工资和津贴补贴以及规定比例为职工缴纳的住房公积金。</w:t>
      </w:r>
    </w:p>
    <w:p w14:paraId="3C031E2A"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医疗费：反映未参加医疗保险单位的医疗经费和单位按规定为职工支出的其他医疗费用。</w:t>
      </w:r>
    </w:p>
    <w:p w14:paraId="5EA8F5F7"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商品和服务支出：反映单位购买商品和服务的支出（不包括用于购置固定资产的支出、战略性和应急储备支出）。</w:t>
      </w:r>
    </w:p>
    <w:p w14:paraId="12F0F43A"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办公费：反映单位购买按财务会计制度规定不符合固定资产确认标准的日常办公用品、书报杂志等支出。</w:t>
      </w:r>
    </w:p>
    <w:p w14:paraId="40D61356"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咨询费：反映单位咨询方面的支出。</w:t>
      </w:r>
    </w:p>
    <w:p w14:paraId="6FB0A1E8"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手续费：反映单位支付的各类手续费支出。</w:t>
      </w:r>
    </w:p>
    <w:p w14:paraId="66402F0D" w14:textId="77777777" w:rsidR="0075221D" w:rsidRDefault="00000000">
      <w:pPr>
        <w:ind w:firstLineChars="200" w:firstLine="640"/>
        <w:jc w:val="left"/>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电费：反映单位的电费支出。</w:t>
      </w:r>
    </w:p>
    <w:p w14:paraId="4759E39C" w14:textId="77777777" w:rsidR="0075221D" w:rsidRDefault="00000000">
      <w:pPr>
        <w:keepNext/>
        <w:keepLines/>
        <w:ind w:firstLine="640"/>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lastRenderedPageBreak/>
        <w:t>差旅费：反映单位工作人员出差发生的城市间交通费、住宿费、伙食补贴费和市内交通费。</w:t>
      </w:r>
    </w:p>
    <w:p w14:paraId="5E7DA200" w14:textId="77777777" w:rsidR="0075221D" w:rsidRDefault="00000000">
      <w:pPr>
        <w:keepNext/>
        <w:keepLines/>
        <w:ind w:firstLine="640"/>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培训费：反映除因公出国（境）培训费以外的各类培训支出。</w:t>
      </w:r>
    </w:p>
    <w:p w14:paraId="14BCBB09" w14:textId="77777777" w:rsidR="0075221D" w:rsidRDefault="00000000">
      <w:pPr>
        <w:keepNext/>
        <w:keepLines/>
        <w:ind w:firstLine="640"/>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2760045D" w14:textId="77777777" w:rsidR="0075221D" w:rsidRDefault="00000000">
      <w:pPr>
        <w:keepNext/>
        <w:keepLines/>
        <w:ind w:firstLine="640"/>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其他交通费用：反映单位除公务用车运行维护费以外的其他交通费用。如公务交通补贴，租车费用、出租车费用，飞机、船舶等的燃料费、维修费、保险费等。</w:t>
      </w:r>
    </w:p>
    <w:p w14:paraId="29943130" w14:textId="77777777" w:rsidR="0075221D" w:rsidRDefault="00000000">
      <w:pPr>
        <w:keepNext/>
        <w:keepLines/>
        <w:ind w:firstLine="640"/>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税金及附加费用：反映单位提供劳务或销售产品应负担的税金及附加费用，包括营业税、消费税、城市维护建设税、资源税和教育附加等。</w:t>
      </w:r>
    </w:p>
    <w:p w14:paraId="352FCA44" w14:textId="77777777" w:rsidR="0075221D" w:rsidRDefault="00000000">
      <w:pPr>
        <w:keepNext/>
        <w:keepLines/>
        <w:ind w:firstLine="640"/>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对个人和家庭的补助：反映政府用于对个人和家庭的补助支出。</w:t>
      </w:r>
    </w:p>
    <w:p w14:paraId="056F65A7" w14:textId="77777777" w:rsidR="0075221D" w:rsidRDefault="00000000">
      <w:pPr>
        <w:keepNext/>
        <w:keepLines/>
        <w:ind w:firstLine="640"/>
        <w:rPr>
          <w:rFonts w:ascii="宋体" w:eastAsia="宋体" w:hAnsi="宋体"/>
          <w:color w:val="000000" w:themeColor="text1"/>
          <w:kern w:val="0"/>
          <w:sz w:val="32"/>
          <w:highlight w:val="white"/>
        </w:rPr>
      </w:pPr>
      <w:r>
        <w:rPr>
          <w:rFonts w:ascii="宋体" w:eastAsia="宋体" w:hAnsi="宋体" w:hint="eastAsia"/>
          <w:color w:val="000000" w:themeColor="text1"/>
          <w:kern w:val="0"/>
          <w:sz w:val="32"/>
          <w:highlight w:val="white"/>
        </w:rPr>
        <w:t>办公设备购置：反映用于购置并按财务会计制度规定纳入固定资产核算范围的办公家具和办公设备的支出，以及按规定提取的修购基金。</w:t>
      </w:r>
    </w:p>
    <w:p w14:paraId="1D9B6E11" w14:textId="77777777" w:rsidR="0075221D" w:rsidRDefault="0075221D">
      <w:pPr>
        <w:pStyle w:val="a0"/>
        <w:rPr>
          <w:color w:val="000000" w:themeColor="text1"/>
        </w:rPr>
      </w:pPr>
    </w:p>
    <w:p w14:paraId="6EDA5711" w14:textId="77777777" w:rsidR="0075221D" w:rsidRDefault="0075221D">
      <w:pPr>
        <w:pStyle w:val="a0"/>
        <w:rPr>
          <w:color w:val="000000" w:themeColor="text1"/>
        </w:rPr>
      </w:pPr>
    </w:p>
    <w:p w14:paraId="494B1FA9" w14:textId="77777777" w:rsidR="0075221D" w:rsidRDefault="0075221D">
      <w:pPr>
        <w:keepNext/>
        <w:keepLines/>
        <w:ind w:firstLine="640"/>
        <w:rPr>
          <w:rFonts w:ascii="宋体" w:eastAsia="宋体" w:hAnsi="宋体"/>
          <w:color w:val="000000" w:themeColor="text1"/>
          <w:kern w:val="0"/>
          <w:sz w:val="32"/>
          <w:highlight w:val="white"/>
        </w:rPr>
      </w:pPr>
    </w:p>
    <w:p w14:paraId="620A733B" w14:textId="77777777" w:rsidR="0075221D" w:rsidRDefault="0075221D">
      <w:pPr>
        <w:pStyle w:val="Default"/>
        <w:jc w:val="center"/>
        <w:rPr>
          <w:color w:val="000000" w:themeColor="text1"/>
          <w:sz w:val="72"/>
          <w:szCs w:val="72"/>
        </w:rPr>
      </w:pPr>
    </w:p>
    <w:p w14:paraId="45F37A4C" w14:textId="77777777" w:rsidR="0075221D" w:rsidRDefault="0075221D">
      <w:pPr>
        <w:pStyle w:val="Default"/>
        <w:jc w:val="center"/>
        <w:rPr>
          <w:color w:val="000000" w:themeColor="text1"/>
          <w:sz w:val="72"/>
          <w:szCs w:val="72"/>
        </w:rPr>
      </w:pPr>
    </w:p>
    <w:p w14:paraId="28A7839D" w14:textId="77777777" w:rsidR="0075221D" w:rsidRDefault="0075221D">
      <w:pPr>
        <w:pStyle w:val="Default"/>
        <w:jc w:val="center"/>
        <w:rPr>
          <w:color w:val="000000" w:themeColor="text1"/>
          <w:sz w:val="72"/>
          <w:szCs w:val="72"/>
        </w:rPr>
      </w:pPr>
    </w:p>
    <w:p w14:paraId="3D70D4E2" w14:textId="77777777" w:rsidR="0075221D" w:rsidRDefault="0075221D">
      <w:pPr>
        <w:pStyle w:val="Default"/>
        <w:jc w:val="center"/>
        <w:rPr>
          <w:color w:val="000000" w:themeColor="text1"/>
          <w:sz w:val="72"/>
          <w:szCs w:val="72"/>
        </w:rPr>
      </w:pPr>
    </w:p>
    <w:p w14:paraId="2CA3BA72" w14:textId="77777777" w:rsidR="0075221D" w:rsidRDefault="00000000">
      <w:pPr>
        <w:pStyle w:val="Default"/>
        <w:jc w:val="center"/>
        <w:rPr>
          <w:rFonts w:hAnsi="黑体"/>
          <w:color w:val="000000" w:themeColor="text1"/>
          <w:sz w:val="52"/>
          <w:szCs w:val="52"/>
        </w:rPr>
      </w:pPr>
      <w:r>
        <w:rPr>
          <w:rFonts w:hAnsi="黑体" w:hint="eastAsia"/>
          <w:color w:val="000000" w:themeColor="text1"/>
          <w:sz w:val="52"/>
          <w:szCs w:val="52"/>
        </w:rPr>
        <w:lastRenderedPageBreak/>
        <w:t>第五部分</w:t>
      </w:r>
    </w:p>
    <w:p w14:paraId="203460D0" w14:textId="77777777" w:rsidR="0075221D" w:rsidRDefault="0075221D">
      <w:pPr>
        <w:jc w:val="center"/>
        <w:rPr>
          <w:rFonts w:ascii="黑体" w:eastAsia="黑体" w:hAnsi="黑体" w:cs="黑体"/>
          <w:color w:val="000000" w:themeColor="text1"/>
          <w:kern w:val="0"/>
          <w:sz w:val="52"/>
          <w:szCs w:val="52"/>
        </w:rPr>
      </w:pPr>
    </w:p>
    <w:p w14:paraId="1472C449" w14:textId="77777777" w:rsidR="0075221D" w:rsidRDefault="00000000">
      <w:pPr>
        <w:jc w:val="center"/>
        <w:rPr>
          <w:rFonts w:ascii="黑体" w:eastAsia="黑体" w:hAnsi="黑体" w:cs="黑体"/>
          <w:color w:val="000000" w:themeColor="text1"/>
          <w:kern w:val="0"/>
          <w:sz w:val="52"/>
          <w:szCs w:val="52"/>
        </w:rPr>
      </w:pPr>
      <w:r>
        <w:rPr>
          <w:rFonts w:ascii="黑体" w:eastAsia="黑体" w:hAnsi="黑体" w:cs="黑体" w:hint="eastAsia"/>
          <w:color w:val="000000" w:themeColor="text1"/>
          <w:kern w:val="0"/>
          <w:sz w:val="52"/>
          <w:szCs w:val="52"/>
        </w:rPr>
        <w:t>附件</w:t>
      </w:r>
    </w:p>
    <w:p w14:paraId="11E0EB41" w14:textId="77777777" w:rsidR="0075221D" w:rsidRDefault="0075221D">
      <w:pPr>
        <w:jc w:val="center"/>
        <w:rPr>
          <w:rFonts w:ascii="黑体" w:eastAsia="黑体" w:hAnsi="黑体" w:cs="黑体"/>
          <w:color w:val="000000" w:themeColor="text1"/>
          <w:kern w:val="0"/>
          <w:sz w:val="52"/>
          <w:szCs w:val="52"/>
        </w:rPr>
      </w:pPr>
    </w:p>
    <w:p w14:paraId="7CADE212" w14:textId="77777777" w:rsidR="0075221D" w:rsidRDefault="00000000">
      <w:pPr>
        <w:widowControl/>
        <w:ind w:firstLineChars="200" w:firstLine="643"/>
        <w:jc w:val="left"/>
        <w:rPr>
          <w:rFonts w:asciiTheme="minorEastAsia" w:hAnsiTheme="minorEastAsia" w:cs="黑体"/>
          <w:b/>
          <w:color w:val="000000" w:themeColor="text1"/>
          <w:kern w:val="0"/>
          <w:sz w:val="32"/>
          <w:szCs w:val="32"/>
        </w:rPr>
      </w:pPr>
      <w:r>
        <w:rPr>
          <w:rFonts w:asciiTheme="minorEastAsia" w:hAnsiTheme="minorEastAsia" w:cs="黑体" w:hint="eastAsia"/>
          <w:b/>
          <w:color w:val="000000" w:themeColor="text1"/>
          <w:kern w:val="0"/>
          <w:sz w:val="32"/>
          <w:szCs w:val="32"/>
        </w:rPr>
        <w:t>1、2021年部门决算公开表格</w:t>
      </w:r>
    </w:p>
    <w:p w14:paraId="35C6B4FD" w14:textId="77777777" w:rsidR="0075221D" w:rsidRDefault="00000000">
      <w:pPr>
        <w:ind w:firstLineChars="200" w:firstLine="643"/>
        <w:jc w:val="left"/>
        <w:rPr>
          <w:rFonts w:asciiTheme="minorEastAsia" w:hAnsiTheme="minorEastAsia" w:cs="黑体"/>
          <w:b/>
          <w:color w:val="000000" w:themeColor="text1"/>
          <w:kern w:val="0"/>
          <w:sz w:val="32"/>
          <w:szCs w:val="32"/>
        </w:rPr>
      </w:pPr>
      <w:r>
        <w:rPr>
          <w:rFonts w:asciiTheme="minorEastAsia" w:hAnsiTheme="minorEastAsia" w:cs="黑体" w:hint="eastAsia"/>
          <w:b/>
          <w:color w:val="000000" w:themeColor="text1"/>
          <w:kern w:val="0"/>
          <w:sz w:val="32"/>
          <w:szCs w:val="32"/>
        </w:rPr>
        <w:t>2、2021年度部门整体支出绩效评价报告</w:t>
      </w:r>
    </w:p>
    <w:p w14:paraId="231A2FD8" w14:textId="77777777" w:rsidR="0075221D" w:rsidRDefault="0075221D">
      <w:pPr>
        <w:ind w:firstLineChars="200" w:firstLine="640"/>
        <w:jc w:val="left"/>
        <w:rPr>
          <w:rFonts w:asciiTheme="minorEastAsia" w:hAnsiTheme="minorEastAsia" w:cs="黑体"/>
          <w:color w:val="000000" w:themeColor="text1"/>
          <w:kern w:val="0"/>
          <w:sz w:val="32"/>
          <w:szCs w:val="32"/>
        </w:rPr>
      </w:pPr>
    </w:p>
    <w:sectPr w:rsidR="0075221D">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6A298D"/>
    <w:multiLevelType w:val="singleLevel"/>
    <w:tmpl w:val="B16A298D"/>
    <w:lvl w:ilvl="0">
      <w:start w:val="9"/>
      <w:numFmt w:val="chineseCounting"/>
      <w:suff w:val="nothing"/>
      <w:lvlText w:val="%1、"/>
      <w:lvlJc w:val="left"/>
      <w:rPr>
        <w:rFonts w:hint="eastAsia"/>
      </w:rPr>
    </w:lvl>
  </w:abstractNum>
  <w:abstractNum w:abstractNumId="1" w15:restartNumberingAfterBreak="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1744398">
    <w:abstractNumId w:val="1"/>
  </w:num>
  <w:num w:numId="2" w16cid:durableId="190455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hYWU5ZDA4MDAzZjVhMjY1Njg2ZDBhNjc3MTE1YjcifQ=="/>
  </w:docVars>
  <w:rsids>
    <w:rsidRoot w:val="00172A27"/>
    <w:rsid w:val="0002229B"/>
    <w:rsid w:val="000273BD"/>
    <w:rsid w:val="000415B7"/>
    <w:rsid w:val="00041E3F"/>
    <w:rsid w:val="00055DAA"/>
    <w:rsid w:val="00061F7B"/>
    <w:rsid w:val="000658A3"/>
    <w:rsid w:val="00074155"/>
    <w:rsid w:val="000873EF"/>
    <w:rsid w:val="000A3F69"/>
    <w:rsid w:val="000E7CF5"/>
    <w:rsid w:val="00103957"/>
    <w:rsid w:val="00124A1F"/>
    <w:rsid w:val="00152C6D"/>
    <w:rsid w:val="00162D39"/>
    <w:rsid w:val="001678BD"/>
    <w:rsid w:val="00172A27"/>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0D43"/>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E34DC"/>
    <w:rsid w:val="005F2103"/>
    <w:rsid w:val="005F3D1C"/>
    <w:rsid w:val="0062378F"/>
    <w:rsid w:val="00641842"/>
    <w:rsid w:val="00651EEC"/>
    <w:rsid w:val="00667951"/>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313E3"/>
    <w:rsid w:val="0075221D"/>
    <w:rsid w:val="00787B42"/>
    <w:rsid w:val="007C4539"/>
    <w:rsid w:val="007F3657"/>
    <w:rsid w:val="00812ED5"/>
    <w:rsid w:val="008277D9"/>
    <w:rsid w:val="0084478C"/>
    <w:rsid w:val="0086638C"/>
    <w:rsid w:val="008A3E8D"/>
    <w:rsid w:val="00907E8A"/>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55880"/>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0A10CA"/>
    <w:rsid w:val="043D36FD"/>
    <w:rsid w:val="04892C62"/>
    <w:rsid w:val="04D02771"/>
    <w:rsid w:val="052A717B"/>
    <w:rsid w:val="05633A58"/>
    <w:rsid w:val="0651050A"/>
    <w:rsid w:val="0687062B"/>
    <w:rsid w:val="06B411F0"/>
    <w:rsid w:val="07301117"/>
    <w:rsid w:val="08016BAA"/>
    <w:rsid w:val="087403E0"/>
    <w:rsid w:val="08A334E0"/>
    <w:rsid w:val="09123C52"/>
    <w:rsid w:val="09F060C0"/>
    <w:rsid w:val="0BE56081"/>
    <w:rsid w:val="0C9E06B3"/>
    <w:rsid w:val="0CCC2A93"/>
    <w:rsid w:val="0EC66974"/>
    <w:rsid w:val="0F3338E7"/>
    <w:rsid w:val="121C60CC"/>
    <w:rsid w:val="134E49AB"/>
    <w:rsid w:val="1354461E"/>
    <w:rsid w:val="13B54A2A"/>
    <w:rsid w:val="13BE003E"/>
    <w:rsid w:val="17210DCB"/>
    <w:rsid w:val="17A87124"/>
    <w:rsid w:val="1B162BE5"/>
    <w:rsid w:val="1C8927C2"/>
    <w:rsid w:val="1E4A3FC0"/>
    <w:rsid w:val="1F572E39"/>
    <w:rsid w:val="21B55BF5"/>
    <w:rsid w:val="22EB3FC4"/>
    <w:rsid w:val="23AD43C5"/>
    <w:rsid w:val="260028C4"/>
    <w:rsid w:val="270375DA"/>
    <w:rsid w:val="27201D62"/>
    <w:rsid w:val="27DB542D"/>
    <w:rsid w:val="2C000528"/>
    <w:rsid w:val="2C0A089D"/>
    <w:rsid w:val="2CEA02B1"/>
    <w:rsid w:val="2F912F2C"/>
    <w:rsid w:val="32DB179F"/>
    <w:rsid w:val="331779DA"/>
    <w:rsid w:val="34DF3185"/>
    <w:rsid w:val="366364DD"/>
    <w:rsid w:val="367B2FF5"/>
    <w:rsid w:val="36AD31C9"/>
    <w:rsid w:val="370B6762"/>
    <w:rsid w:val="3A017286"/>
    <w:rsid w:val="3A2609F6"/>
    <w:rsid w:val="3C073099"/>
    <w:rsid w:val="3C35621F"/>
    <w:rsid w:val="3CB0227E"/>
    <w:rsid w:val="3EC87674"/>
    <w:rsid w:val="41016309"/>
    <w:rsid w:val="41DD489B"/>
    <w:rsid w:val="423F358D"/>
    <w:rsid w:val="43476FE8"/>
    <w:rsid w:val="43E154A7"/>
    <w:rsid w:val="45F9639D"/>
    <w:rsid w:val="48ED43E7"/>
    <w:rsid w:val="495A41E3"/>
    <w:rsid w:val="49997A26"/>
    <w:rsid w:val="4A173833"/>
    <w:rsid w:val="4C104349"/>
    <w:rsid w:val="4D3E52DE"/>
    <w:rsid w:val="4D4F77C6"/>
    <w:rsid w:val="4EDA4A64"/>
    <w:rsid w:val="523C3645"/>
    <w:rsid w:val="53815EA1"/>
    <w:rsid w:val="56F03422"/>
    <w:rsid w:val="589907AF"/>
    <w:rsid w:val="592B7F6F"/>
    <w:rsid w:val="5DED645A"/>
    <w:rsid w:val="5EC97CB5"/>
    <w:rsid w:val="605A7970"/>
    <w:rsid w:val="60A907EA"/>
    <w:rsid w:val="6145544E"/>
    <w:rsid w:val="61E52479"/>
    <w:rsid w:val="65D84419"/>
    <w:rsid w:val="6821790A"/>
    <w:rsid w:val="69044D89"/>
    <w:rsid w:val="6D796A17"/>
    <w:rsid w:val="754934A3"/>
    <w:rsid w:val="77000835"/>
    <w:rsid w:val="78672CB6"/>
    <w:rsid w:val="78CC4A03"/>
    <w:rsid w:val="7AEA54F7"/>
    <w:rsid w:val="7C6D24C9"/>
    <w:rsid w:val="7E63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2ED1"/>
  <w15:docId w15:val="{843459EA-5C5A-4159-B58A-E19AFF37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rPr>
      <w:rFonts w:ascii="Calibri" w:eastAsia="宋体" w:hAnsi="Calibri" w:cs="Times New Roman"/>
      <w:sz w:val="28"/>
      <w:szCs w:val="24"/>
    </w:rPr>
  </w:style>
  <w:style w:type="paragraph" w:styleId="TOC5">
    <w:name w:val="toc 5"/>
    <w:basedOn w:val="a"/>
    <w:next w:val="a"/>
    <w:qFormat/>
    <w:pPr>
      <w:ind w:leftChars="800" w:left="168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rFonts w:cs="Times New Roman"/>
      <w:kern w:val="0"/>
      <w:sz w:val="24"/>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b">
    <w:name w:val="List Paragraph"/>
    <w:basedOn w:val="a"/>
    <w:uiPriority w:val="34"/>
    <w:qFormat/>
    <w:pPr>
      <w:ind w:firstLineChars="200" w:firstLine="420"/>
    </w:pPr>
  </w:style>
  <w:style w:type="character" w:customStyle="1" w:styleId="a5">
    <w:name w:val="批注框文本 字符"/>
    <w:basedOn w:val="a1"/>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1073</Words>
  <Characters>6121</Characters>
  <Application>Microsoft Office Word</Application>
  <DocSecurity>0</DocSecurity>
  <Lines>51</Lines>
  <Paragraphs>14</Paragraphs>
  <ScaleCrop>false</ScaleCrop>
  <Company>Microsoft</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hufenghua hufenghua</cp:lastModifiedBy>
  <cp:revision>5</cp:revision>
  <cp:lastPrinted>2022-07-27T12:55:00Z</cp:lastPrinted>
  <dcterms:created xsi:type="dcterms:W3CDTF">2023-09-23T06:35:00Z</dcterms:created>
  <dcterms:modified xsi:type="dcterms:W3CDTF">2023-09-23T06:43:00Z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20F558F09D994D7DA2ECAC438BCBF985_13</vt:lpwstr>
  </property>
</Properties>
</file>