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岳阳市土石方调配运输服务中心2021年度单位预算公开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2021年单位预算说明</w:t>
            </w:r>
          </w:p>
          <w:p>
            <w:pPr>
              <w:keepNext w:val="0"/>
              <w:keepLines w:val="0"/>
              <w:widowControl/>
              <w:numPr>
                <w:ilvl w:val="0"/>
                <w:numId w:val="1"/>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单位预算公开表格</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为城市管理工作提供服务。负责城市规划范围内土石方调配运输的监督管理和对建筑垃圾的跟踪管理；负责监督临街基建单位（个人）道路、桥梁建设以及管线埋设工程落实围挡作业和文明施工。负责城市道路、桥梁的开挖、占用以及车辆临时停靠和停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独立编制、核算机构数1个，现有差额拨款事业编制人员25名，为公益一类事业单位。内设3个职能股室：人秘股、稽查股、综合管理股。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numPr>
                <w:ilvl w:val="0"/>
                <w:numId w:val="0"/>
              </w:numPr>
              <w:suppressLineNumbers w:val="0"/>
              <w:spacing w:line="240" w:lineRule="auto"/>
              <w:ind w:left="0" w:left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 xml:space="preserve">  本单位为二级预算单位，没有预算独立、财务独立核算的下属预算单位，因此纳入2021年部门预算公开范围的为本单位本级预算。</w:t>
            </w:r>
          </w:p>
          <w:p>
            <w:pPr>
              <w:keepNext w:val="0"/>
              <w:keepLines w:val="0"/>
              <w:widowControl/>
              <w:numPr>
                <w:ilvl w:val="0"/>
                <w:numId w:val="0"/>
              </w:numPr>
              <w:suppressLineNumbers w:val="0"/>
              <w:ind w:left="560" w:leftChars="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i w:val="0"/>
                <w:iCs w:val="0"/>
                <w:color w:val="auto"/>
                <w:kern w:val="0"/>
                <w:sz w:val="28"/>
                <w:szCs w:val="28"/>
                <w:u w:val="none"/>
                <w:lang w:val="en-US" w:eastAsia="zh-CN" w:bidi="ar"/>
              </w:rPr>
              <w:t>（一）</w:t>
            </w:r>
            <w:r>
              <w:rPr>
                <w:rFonts w:hint="eastAsia" w:ascii="仿宋_GB2312" w:hAnsi="宋体" w:eastAsia="仿宋_GB2312" w:cs="仿宋_GB2312"/>
                <w:i w:val="0"/>
                <w:iCs w:val="0"/>
                <w:color w:val="auto"/>
                <w:kern w:val="0"/>
                <w:sz w:val="28"/>
                <w:szCs w:val="28"/>
                <w:u w:val="none"/>
                <w:lang w:val="en-US" w:eastAsia="zh-CN" w:bidi="ar"/>
              </w:rPr>
              <w:t>收入预算</w:t>
            </w:r>
          </w:p>
          <w:p>
            <w:pPr>
              <w:keepNext w:val="0"/>
              <w:keepLines w:val="0"/>
              <w:widowControl/>
              <w:numPr>
                <w:ilvl w:val="0"/>
                <w:numId w:val="0"/>
              </w:numPr>
              <w:suppressLineNumbers w:val="0"/>
              <w:ind w:firstLine="560" w:firstLineChars="20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502.00万元，其中，一般公共预算拨款502.00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收入较去年增加16万元，增幅3.3%，其中基本支出较去年减少4万元，原因是人员调整</w:t>
            </w:r>
            <w:r>
              <w:rPr>
                <w:rFonts w:hint="eastAsia" w:ascii="仿宋_GB2312" w:hAnsi="宋体" w:cs="仿宋_GB2312"/>
                <w:i w:val="0"/>
                <w:iCs w:val="0"/>
                <w:color w:val="auto"/>
                <w:kern w:val="0"/>
                <w:sz w:val="28"/>
                <w:szCs w:val="28"/>
                <w:u w:val="none"/>
                <w:lang w:val="en-US" w:eastAsia="zh-CN" w:bidi="ar"/>
              </w:rPr>
              <w:t>调出1人，工资福利预算相应减少</w:t>
            </w:r>
            <w:r>
              <w:rPr>
                <w:rFonts w:hint="eastAsia" w:ascii="仿宋_GB2312" w:hAnsi="宋体" w:eastAsia="仿宋_GB2312" w:cs="仿宋_GB2312"/>
                <w:i w:val="0"/>
                <w:iCs w:val="0"/>
                <w:color w:val="auto"/>
                <w:kern w:val="0"/>
                <w:sz w:val="28"/>
                <w:szCs w:val="28"/>
                <w:u w:val="none"/>
                <w:lang w:val="en-US" w:eastAsia="zh-CN" w:bidi="ar"/>
              </w:rPr>
              <w:t>；项目支出较去年增加20万元，原因是</w:t>
            </w:r>
            <w:r>
              <w:rPr>
                <w:rFonts w:hint="eastAsia" w:ascii="仿宋_GB2312" w:hAnsi="宋体" w:cs="仿宋_GB2312"/>
                <w:i w:val="0"/>
                <w:iCs w:val="0"/>
                <w:color w:val="auto"/>
                <w:kern w:val="0"/>
                <w:sz w:val="28"/>
                <w:szCs w:val="28"/>
                <w:u w:val="none"/>
                <w:lang w:val="en-US" w:eastAsia="zh-CN" w:bidi="ar"/>
              </w:rPr>
              <w:t>本年增加无主装璜垃圾处置项目费用预算。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2021年本单位支出预算502.00万元，其中，城乡社区支出502.00万元。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支出较去年增加16万元，其中基本支出较去年减少4万元，原因是人员调整</w:t>
            </w:r>
            <w:r>
              <w:rPr>
                <w:rFonts w:hint="eastAsia" w:ascii="仿宋_GB2312" w:hAnsi="宋体" w:cs="仿宋_GB2312"/>
                <w:i w:val="0"/>
                <w:iCs w:val="0"/>
                <w:color w:val="auto"/>
                <w:kern w:val="0"/>
                <w:sz w:val="28"/>
                <w:szCs w:val="28"/>
                <w:u w:val="none"/>
                <w:lang w:val="en-US" w:eastAsia="zh-CN" w:bidi="ar"/>
              </w:rPr>
              <w:t>调出1人，工资福利预算相应减少</w:t>
            </w:r>
            <w:r>
              <w:rPr>
                <w:rFonts w:hint="eastAsia" w:ascii="仿宋_GB2312" w:hAnsi="宋体" w:eastAsia="仿宋_GB2312" w:cs="仿宋_GB2312"/>
                <w:i w:val="0"/>
                <w:iCs w:val="0"/>
                <w:color w:val="auto"/>
                <w:kern w:val="0"/>
                <w:sz w:val="28"/>
                <w:szCs w:val="28"/>
                <w:u w:val="none"/>
                <w:lang w:val="en-US" w:eastAsia="zh-CN" w:bidi="ar"/>
              </w:rPr>
              <w:t>；项目支出较去年增加20万元，原因是</w:t>
            </w:r>
            <w:r>
              <w:rPr>
                <w:rFonts w:hint="eastAsia" w:ascii="仿宋_GB2312" w:hAnsi="宋体" w:cs="仿宋_GB2312"/>
                <w:i w:val="0"/>
                <w:iCs w:val="0"/>
                <w:color w:val="auto"/>
                <w:kern w:val="0"/>
                <w:sz w:val="28"/>
                <w:szCs w:val="28"/>
                <w:u w:val="none"/>
                <w:lang w:val="en-US" w:eastAsia="zh-CN" w:bidi="ar"/>
              </w:rPr>
              <w:t>本年增加无主装璜垃圾处置项目费用预算。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2021年一般公共预算拨款支出预算502.00万元，其中，城乡社区支出502.00万元，占100.0%。具体安排情况如下：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50.00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452.00万元，是指单位为完成特定行政工作任务或事业发展目标而发生的支出，包括有关业务工作经费、运行维护经费等。其中包括非税收入征收成本378.00万元、补助项目支出42.00万元、土石方调配管理办工作经费32.00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与去年持平，未用财政拨款安排机关运行经费。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本单位2021年“三公”经费预算数20.41万元，其中公务接待费4.23万元，因公出国（境）费0.00万元，公务用车购置及运行费16.18万元（其中公务用车购置费0万元，公务用车运行费16.18万元）。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比上一年</w:t>
            </w:r>
            <w:r>
              <w:rPr>
                <w:rFonts w:hint="eastAsia"/>
                <w:color w:val="auto"/>
                <w:lang w:eastAsia="zh-CN"/>
              </w:rPr>
              <w:t>减少2.27万元，降低11.12%</w:t>
            </w:r>
            <w:r>
              <w:rPr>
                <w:rFonts w:hint="eastAsia" w:ascii="仿宋_GB2312" w:hAnsi="宋体" w:eastAsia="仿宋_GB2312" w:cs="仿宋_GB2312"/>
                <w:i w:val="0"/>
                <w:iCs w:val="0"/>
                <w:color w:val="auto"/>
                <w:kern w:val="0"/>
                <w:sz w:val="28"/>
                <w:szCs w:val="28"/>
                <w:u w:val="none"/>
                <w:lang w:val="en-US" w:eastAsia="zh-CN" w:bidi="ar"/>
              </w:rPr>
              <w:t>，主要原因是</w:t>
            </w:r>
            <w:r>
              <w:rPr>
                <w:rFonts w:hint="eastAsia" w:ascii="仿宋_GB2312" w:hAnsi="宋体" w:cs="仿宋_GB2312"/>
                <w:i w:val="0"/>
                <w:iCs w:val="0"/>
                <w:color w:val="auto"/>
                <w:kern w:val="0"/>
                <w:sz w:val="28"/>
                <w:szCs w:val="28"/>
                <w:u w:val="none"/>
                <w:lang w:val="en-US" w:eastAsia="zh-CN" w:bidi="ar"/>
              </w:rPr>
              <w:t>厉行节约，压减三公经费。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2021年度本单位未计划召开会议</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组织培训</w:t>
            </w:r>
            <w:r>
              <w:rPr>
                <w:rFonts w:hint="eastAsia" w:ascii="仿宋_GB2312" w:hAnsi="宋体" w:cs="仿宋_GB2312"/>
                <w:i w:val="0"/>
                <w:iCs w:val="0"/>
                <w:color w:val="auto"/>
                <w:kern w:val="0"/>
                <w:sz w:val="28"/>
                <w:szCs w:val="28"/>
                <w:u w:val="none"/>
                <w:lang w:val="en-US" w:eastAsia="zh-CN" w:bidi="ar"/>
              </w:rPr>
              <w:t>，支出0万元，</w:t>
            </w:r>
            <w:r>
              <w:rPr>
                <w:rFonts w:hint="eastAsia" w:ascii="仿宋_GB2312" w:hAnsi="宋体" w:eastAsia="仿宋_GB2312" w:cs="仿宋_GB2312"/>
                <w:i w:val="0"/>
                <w:iCs w:val="0"/>
                <w:color w:val="auto"/>
                <w:kern w:val="0"/>
                <w:sz w:val="28"/>
                <w:szCs w:val="28"/>
                <w:u w:val="none"/>
                <w:lang w:val="en-US" w:eastAsia="zh-CN" w:bidi="ar"/>
              </w:rPr>
              <w:t>未计划举办节庆、晚会、论坛、赛事</w:t>
            </w:r>
            <w:r>
              <w:rPr>
                <w:rFonts w:hint="eastAsia" w:ascii="仿宋_GB2312" w:hAnsi="宋体" w:cs="仿宋_GB2312"/>
                <w:i w:val="0"/>
                <w:iCs w:val="0"/>
                <w:color w:val="auto"/>
                <w:kern w:val="0"/>
                <w:sz w:val="28"/>
                <w:szCs w:val="28"/>
                <w:u w:val="none"/>
                <w:lang w:val="en-US" w:eastAsia="zh-CN" w:bidi="ar"/>
              </w:rPr>
              <w:t>等</w:t>
            </w:r>
            <w:r>
              <w:rPr>
                <w:rFonts w:hint="eastAsia" w:ascii="仿宋_GB2312" w:hAnsi="宋体" w:eastAsia="仿宋_GB2312" w:cs="仿宋_GB2312"/>
                <w:i w:val="0"/>
                <w:iCs w:val="0"/>
                <w:color w:val="auto"/>
                <w:kern w:val="0"/>
                <w:sz w:val="28"/>
                <w:szCs w:val="28"/>
                <w:u w:val="none"/>
                <w:lang w:val="en-US" w:eastAsia="zh-CN" w:bidi="ar"/>
              </w:rPr>
              <w:t>活动</w:t>
            </w:r>
            <w:r>
              <w:rPr>
                <w:rFonts w:hint="eastAsia" w:ascii="仿宋_GB2312" w:hAnsi="宋体" w:cs="仿宋_GB2312"/>
                <w:i w:val="0"/>
                <w:iCs w:val="0"/>
                <w:color w:val="auto"/>
                <w:kern w:val="0"/>
                <w:sz w:val="28"/>
                <w:szCs w:val="28"/>
                <w:u w:val="none"/>
                <w:lang w:val="en-US" w:eastAsia="zh-CN" w:bidi="ar"/>
              </w:rPr>
              <w:t>支出0万元</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本单位2021年政府采购预算总额14.7万元，其中工程类0万元，货物类7万元，服务类7.7万元。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辆，其中领导干部用车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辆，一般公务用车</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辆，其他用车</w:t>
            </w:r>
            <w:r>
              <w:rPr>
                <w:rFonts w:hint="eastAsia" w:ascii="仿宋_GB2312" w:hAnsi="宋体" w:cs="仿宋_GB2312"/>
                <w:i w:val="0"/>
                <w:iCs w:val="0"/>
                <w:color w:val="auto"/>
                <w:kern w:val="0"/>
                <w:sz w:val="28"/>
                <w:szCs w:val="28"/>
                <w:u w:val="none"/>
                <w:lang w:val="en-US" w:eastAsia="zh-CN" w:bidi="ar"/>
              </w:rPr>
              <w:t>3</w:t>
            </w:r>
            <w:r>
              <w:rPr>
                <w:rFonts w:hint="eastAsia" w:ascii="仿宋_GB2312" w:hAnsi="宋体" w:eastAsia="仿宋_GB2312" w:cs="仿宋_GB2312"/>
                <w:i w:val="0"/>
                <w:iCs w:val="0"/>
                <w:color w:val="auto"/>
                <w:kern w:val="0"/>
                <w:sz w:val="28"/>
                <w:szCs w:val="28"/>
                <w:u w:val="none"/>
                <w:lang w:val="en-US" w:eastAsia="zh-CN" w:bidi="ar"/>
              </w:rPr>
              <w:t>辆。单位价值50万元以上通用设备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台，单位价值100万元以上专用设备</w:t>
            </w:r>
            <w:r>
              <w:rPr>
                <w:rFonts w:hint="eastAsia" w:ascii="仿宋_GB2312" w:hAnsi="宋体" w:cs="仿宋_GB2312"/>
                <w:i w:val="0"/>
                <w:iCs w:val="0"/>
                <w:color w:val="auto"/>
                <w:kern w:val="0"/>
                <w:sz w:val="28"/>
                <w:szCs w:val="28"/>
                <w:u w:val="none"/>
                <w:lang w:val="en-US" w:eastAsia="zh-CN" w:bidi="ar"/>
              </w:rPr>
              <w:t>0</w:t>
            </w:r>
            <w:r>
              <w:rPr>
                <w:rFonts w:hint="eastAsia" w:ascii="仿宋_GB2312" w:hAnsi="宋体" w:eastAsia="仿宋_GB2312" w:cs="仿宋_GB2312"/>
                <w:i w:val="0"/>
                <w:iCs w:val="0"/>
                <w:color w:val="auto"/>
                <w:kern w:val="0"/>
                <w:sz w:val="28"/>
                <w:szCs w:val="2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本单位所有支出实行绩效目标管理。纳入2021年单位整体支出绩效目标的金额为502.00万元，其中，基本支出50.00万元，项目支出452.00万元，绩效目标详见文尾附表中预算公开表格的表22-23。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bookmarkStart w:id="0" w:name="_GoBack"/>
            <w:bookmarkEnd w:id="0"/>
            <w:r>
              <w:rPr>
                <w:rFonts w:hint="eastAsia" w:ascii="仿宋_GB2312" w:hAnsi="宋体" w:eastAsia="仿宋_GB2312" w:cs="仿宋_GB2312"/>
                <w:i w:val="0"/>
                <w:iCs w:val="0"/>
                <w:color w:val="auto"/>
                <w:kern w:val="0"/>
                <w:sz w:val="28"/>
                <w:szCs w:val="28"/>
                <w:u w:val="none"/>
                <w:lang w:val="en-US" w:eastAsia="zh-CN" w:bidi="ar"/>
              </w:rPr>
              <w:t>收入总表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财政拨款收支总表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一般公共预算基本支出表--人员经费(工资福利支出)(按部门预算经济分类)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一般公共预算基本支出表--人员经费(对个人和家庭的补助)（按部门预算经济分类）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一般公共预算基本支出表--公用经费(商品和服务支出)(按部门预算经济分类)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一般公共预算“三公”经费支出表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政府性基金预算支出分类汇总表（按部门预算经济分类）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国有资产经营预算支出表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纳入专户管理的非税收入拨款支出预算表(按政府预算经济分类)</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纳入专户管理的非税收入拨款支出预算表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支出预算项目明细表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财政支出项目预算绩效目标申报表</w:t>
            </w:r>
          </w:p>
          <w:p>
            <w:pPr>
              <w:keepNext w:val="0"/>
              <w:keepLines w:val="0"/>
              <w:widowControl/>
              <w:numPr>
                <w:ilvl w:val="0"/>
                <w:numId w:val="2"/>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部门(单位)整体支出预算绩效目标申报表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w:t>
            </w:r>
            <w:r>
              <w:rPr>
                <w:rFonts w:hint="eastAsia" w:ascii="仿宋_GB2312" w:hAnsi="宋体" w:cs="仿宋_GB2312"/>
                <w:i w:val="0"/>
                <w:iCs w:val="0"/>
                <w:color w:val="auto"/>
                <w:kern w:val="0"/>
                <w:sz w:val="28"/>
                <w:szCs w:val="28"/>
                <w:u w:val="none"/>
                <w:lang w:val="en-US" w:eastAsia="zh-CN" w:bidi="ar"/>
              </w:rPr>
              <w:t>四</w:t>
            </w:r>
            <w:r>
              <w:rPr>
                <w:rFonts w:hint="eastAsia" w:ascii="仿宋_GB2312" w:hAnsi="宋体" w:eastAsia="仿宋_GB2312" w:cs="仿宋_GB2312"/>
                <w:i w:val="0"/>
                <w:iCs w:val="0"/>
                <w:color w:val="auto"/>
                <w:kern w:val="0"/>
                <w:sz w:val="28"/>
                <w:szCs w:val="28"/>
                <w:u w:val="none"/>
                <w:lang w:val="en-US" w:eastAsia="zh-CN" w:bidi="ar"/>
              </w:rPr>
              <w:t>、一般</w:t>
            </w:r>
            <w:r>
              <w:rPr>
                <w:rFonts w:hint="eastAsia" w:ascii="仿宋_GB2312" w:hAnsi="宋体" w:cs="仿宋_GB2312"/>
                <w:i w:val="0"/>
                <w:iCs w:val="0"/>
                <w:color w:val="auto"/>
                <w:kern w:val="0"/>
                <w:sz w:val="28"/>
                <w:szCs w:val="28"/>
                <w:u w:val="none"/>
                <w:lang w:val="en-US" w:eastAsia="zh-CN" w:bidi="ar"/>
              </w:rPr>
              <w:t>公共</w:t>
            </w:r>
            <w:r>
              <w:rPr>
                <w:rFonts w:hint="eastAsia" w:ascii="仿宋_GB2312" w:hAnsi="宋体" w:eastAsia="仿宋_GB2312" w:cs="仿宋_GB2312"/>
                <w:i w:val="0"/>
                <w:iCs w:val="0"/>
                <w:color w:val="auto"/>
                <w:kern w:val="0"/>
                <w:sz w:val="28"/>
                <w:szCs w:val="28"/>
                <w:u w:val="none"/>
                <w:lang w:val="en-US" w:eastAsia="zh-CN" w:bidi="ar"/>
              </w:rPr>
              <w:t>预算基本支出</w:t>
            </w:r>
            <w:r>
              <w:rPr>
                <w:rFonts w:hint="eastAsia" w:ascii="仿宋_GB2312" w:hAnsi="宋体" w:cs="仿宋_GB2312"/>
                <w:i w:val="0"/>
                <w:iCs w:val="0"/>
                <w:color w:val="auto"/>
                <w:kern w:val="0"/>
                <w:sz w:val="28"/>
                <w:szCs w:val="28"/>
                <w:u w:val="none"/>
                <w:lang w:val="en-US" w:eastAsia="zh-CN" w:bidi="ar"/>
              </w:rPr>
              <w:t>总</w:t>
            </w:r>
            <w:r>
              <w:rPr>
                <w:rFonts w:hint="eastAsia" w:ascii="仿宋_GB2312" w:hAnsi="宋体" w:eastAsia="仿宋_GB2312" w:cs="仿宋_GB2312"/>
                <w:i w:val="0"/>
                <w:iCs w:val="0"/>
                <w:color w:val="auto"/>
                <w:kern w:val="0"/>
                <w:sz w:val="28"/>
                <w:szCs w:val="28"/>
                <w:u w:val="none"/>
                <w:lang w:val="en-US" w:eastAsia="zh-CN" w:bidi="ar"/>
              </w:rPr>
              <w:t>表</w:t>
            </w:r>
          </w:p>
          <w:p>
            <w:pPr>
              <w:keepNext w:val="0"/>
              <w:keepLines w:val="0"/>
              <w:widowControl/>
              <w:numPr>
                <w:ilvl w:val="0"/>
                <w:numId w:val="0"/>
              </w:numPr>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ECDDE3"/>
    <w:multiLevelType w:val="singleLevel"/>
    <w:tmpl w:val="BCECDDE3"/>
    <w:lvl w:ilvl="0" w:tentative="0">
      <w:start w:val="1"/>
      <w:numFmt w:val="chineseCounting"/>
      <w:suff w:val="nothing"/>
      <w:lvlText w:val="%1、"/>
      <w:lvlJc w:val="left"/>
      <w:rPr>
        <w:rFonts w:hint="eastAsia"/>
      </w:rPr>
    </w:lvl>
  </w:abstractNum>
  <w:abstractNum w:abstractNumId="1">
    <w:nsid w:val="F02CFEF7"/>
    <w:multiLevelType w:val="singleLevel"/>
    <w:tmpl w:val="F02CFEF7"/>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wYjE2NzhkNDM2Y2Y5NzI2YzFkODFmZGY5MzM4MWUifQ=="/>
  </w:docVars>
  <w:rsids>
    <w:rsidRoot w:val="48885009"/>
    <w:rsid w:val="02781BC8"/>
    <w:rsid w:val="03EE2AB7"/>
    <w:rsid w:val="055F2BCB"/>
    <w:rsid w:val="060F4036"/>
    <w:rsid w:val="07453DF4"/>
    <w:rsid w:val="07A47FD8"/>
    <w:rsid w:val="10C6734C"/>
    <w:rsid w:val="118C1040"/>
    <w:rsid w:val="15A7559A"/>
    <w:rsid w:val="185365BF"/>
    <w:rsid w:val="1BD23C9F"/>
    <w:rsid w:val="1C880A5C"/>
    <w:rsid w:val="1DFF021E"/>
    <w:rsid w:val="210A65D7"/>
    <w:rsid w:val="217100D7"/>
    <w:rsid w:val="28437BCE"/>
    <w:rsid w:val="29B669AE"/>
    <w:rsid w:val="2DFB52D7"/>
    <w:rsid w:val="312E36D8"/>
    <w:rsid w:val="34390DE3"/>
    <w:rsid w:val="3B51265F"/>
    <w:rsid w:val="3EC30BD3"/>
    <w:rsid w:val="478729B5"/>
    <w:rsid w:val="48885009"/>
    <w:rsid w:val="4AD64A28"/>
    <w:rsid w:val="4B922BE4"/>
    <w:rsid w:val="4BB072A9"/>
    <w:rsid w:val="4D700A9E"/>
    <w:rsid w:val="4E542F0D"/>
    <w:rsid w:val="4EF851EF"/>
    <w:rsid w:val="50B30947"/>
    <w:rsid w:val="50C05441"/>
    <w:rsid w:val="53F94FFA"/>
    <w:rsid w:val="55FC0B81"/>
    <w:rsid w:val="560E0EDB"/>
    <w:rsid w:val="59941FB8"/>
    <w:rsid w:val="5E74134B"/>
    <w:rsid w:val="5ED752A6"/>
    <w:rsid w:val="5F172FE4"/>
    <w:rsid w:val="69647061"/>
    <w:rsid w:val="6CA4110E"/>
    <w:rsid w:val="706202C3"/>
    <w:rsid w:val="707F6E1E"/>
    <w:rsid w:val="71245578"/>
    <w:rsid w:val="75F4035E"/>
    <w:rsid w:val="76434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2974</Words>
  <Characters>3197</Characters>
  <Lines>0</Lines>
  <Paragraphs>0</Paragraphs>
  <TotalTime>2</TotalTime>
  <ScaleCrop>false</ScaleCrop>
  <LinksUpToDate>false</LinksUpToDate>
  <CharactersWithSpaces>3355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2022-09-07T00:50:51Z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8FE72997348348869D25BAED8AC9BE71</vt:lpwstr>
  </property>
</Properties>
</file>