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岳阳市城市管理综合行政执法支队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2020年度绩效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评价报告综述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一、部门（单位）概况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（一）部门基本情况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1.机构设置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及人员编制情况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岳阳市城市管理综合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执法支队</w:t>
      </w:r>
      <w:r>
        <w:rPr>
          <w:rFonts w:hint="eastAsia" w:ascii="仿宋_GB2312" w:hAnsi="仿宋_GB2312" w:eastAsia="仿宋_GB2312" w:cs="仿宋_GB2312"/>
          <w:sz w:val="28"/>
          <w:szCs w:val="28"/>
        </w:rPr>
        <w:t>是隶属岳阳市城市管理和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28"/>
          <w:szCs w:val="28"/>
        </w:rPr>
        <w:t>执法局的二级机构，单位性质：参照公务员法管理事业单位；事业单位法人证书：统一社会信用代码12430600748382467Y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法定代表人：郭沫农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2020年编制人数共计174人，实有人数148人。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支队下设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6个正科级事业单位，全部经费支出统一由支队核算。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会计核算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会计制度》。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2.主要工作职能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贯彻、执行国家和地方关于城市管理和城市管理行政执法的政策、法规；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依据市容环境卫生、城市园林绿化、环境保护、工商行政、公安交通管理等方面的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法律、法规、规章规定实施行政处罚；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（3）负责城区“牛皮癣”治理、城区夜市的规范经营和整顿管理；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（4）负责城镇燃气和禁止燃放烟花爆竹执法等工作;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承办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上级部门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交办的其他事项。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年度绩效目标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科学防控疫情，构筑坚固疫情防控线；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（2）严格市容执法，创造优良市容环境；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（3）强化禁炮督查，中心城区重要节期违规燃炮清零；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（4）开展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燃气执法专项行动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，消除燃气安全隐患；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（5）推行精细化管理，不断优化执法方式；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outlineLvl w:val="2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（6）强化队伍建设，打造专业化、规范化、人性化的执法队伍。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（二）部门整体支出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2020年市本级预算批复3,058.14万元，实际收入3,585.90万元。其中财政拨款预算收入3,515.87万元，其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预算收入70.03万元（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除财政拨款之外的单位往来款项,主要为市城管局拨付考评资金及迎检工作经费21.06万元，保险公司理赔0.98万元，楼区劳动就业局复退军人工资及社保14.83万元，巴陵大桥集贸市场拆除经费10.00万元，退休人员养老金一次性退款22.92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）。收入结构：基本支出收入2114.94万元，占总收入的58.98%；项目支出收入1470.96万元，占财政预算收入的41.02%。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2.支出情况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2020年支出合计3,528.10万元，其中：基本支出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2,114.08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万元，占总支出的59.92%；项目支出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1,414.02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万元，占总支出的40.08%。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3.结转结余情况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上年度累计结余0.03万元。2020年收入3,585.90万元，支出3,528.10万元，本年度收支差额57.80万元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（其中执法电动巡逻车购置尾款43.96万元）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。本年度累计结余57.83万元。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二、绩效评价工作情况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contextualSpacing/>
        <w:outlineLvl w:val="1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(一)评价依据</w:t>
      </w:r>
    </w:p>
    <w:p>
      <w:pPr>
        <w:spacing w:line="560" w:lineRule="exact"/>
        <w:ind w:firstLine="564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《中华人民共和国预算法》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2.《政府会计制度》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财政部《关于印发〈财政支出绩效评价管理暂行办法〉的通知》（财预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〔20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〕</w:t>
      </w:r>
      <w:r>
        <w:rPr>
          <w:rFonts w:hint="eastAsia" w:ascii="仿宋_GB2312" w:eastAsia="仿宋_GB2312"/>
          <w:sz w:val="28"/>
          <w:szCs w:val="28"/>
        </w:rPr>
        <w:t>285号）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《湖南省城市综合管理条例》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岳阳市财政局《关于落实2020年度财政支出绩效自评及绩效监控工作的通知》（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instrText xml:space="preserve"> HYPERLINK "http://www.yueyang.gov.cn/55570/55580/55581/55582/javascript:void(0);" \o "分享到微信"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</w:rPr>
        <w:t>岳财预〔2020〕86号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6.岳阳市2020年市本级财政预算批复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contextualSpacing/>
        <w:outlineLvl w:val="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(二)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绩效</w:t>
      </w:r>
      <w:r>
        <w:rPr>
          <w:rFonts w:hint="eastAsia" w:ascii="仿宋_GB2312" w:eastAsia="仿宋_GB2312"/>
          <w:b/>
          <w:bCs/>
          <w:sz w:val="28"/>
          <w:szCs w:val="28"/>
        </w:rPr>
        <w:t>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通过对20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度</w:t>
      </w:r>
      <w:r>
        <w:rPr>
          <w:rFonts w:hint="eastAsia" w:ascii="仿宋_GB2312" w:eastAsia="仿宋_GB2312"/>
          <w:sz w:val="28"/>
          <w:szCs w:val="28"/>
        </w:rPr>
        <w:t>预算配置、预算管理、资产管理、职责履行、履职效益等内容的绩效考评，</w:t>
      </w:r>
      <w:r>
        <w:rPr>
          <w:rFonts w:hint="eastAsia" w:ascii="仿宋_GB2312" w:eastAsia="仿宋_GB2312"/>
          <w:sz w:val="28"/>
          <w:szCs w:val="28"/>
          <w:lang w:eastAsia="zh-CN"/>
        </w:rPr>
        <w:t>了解年度目标的完成情况，规范部门管理，</w:t>
      </w:r>
      <w:r>
        <w:rPr>
          <w:rFonts w:hint="eastAsia" w:ascii="仿宋_GB2312" w:eastAsia="仿宋_GB2312"/>
          <w:sz w:val="28"/>
          <w:szCs w:val="28"/>
        </w:rPr>
        <w:t xml:space="preserve">提高财政资金的使用效率。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contextualSpacing/>
        <w:outlineLvl w:val="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(三)评价原则、评价指标体系、评价方法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rPr>
          <w:rFonts w:hint="eastAsia" w:ascii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1．部门整体支出绩效评价原则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" w:firstLineChars="203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）科学规范原则。严格执行规定的程序，按照科学可行的要求，采用定量与定性分析相结合的方法。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" w:firstLineChars="203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）公正公开原则。符合真实、客观、公正的要求，依法公开并接受监督。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" w:firstLineChars="203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）分级分类原则。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单位自评、部门评价和财政评价相互衔接，各有侧重。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" w:firstLineChars="203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）绩效相关原则。针对具体支出及其产出绩效进行，清晰反映支出和产出绩效之间的紧密对应关系。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2．整体支出绩效评价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评分</w:t>
      </w:r>
      <w:r>
        <w:rPr>
          <w:rFonts w:hint="eastAsia" w:ascii="仿宋_GB2312" w:eastAsia="仿宋_GB2312"/>
          <w:color w:val="auto"/>
          <w:sz w:val="28"/>
          <w:szCs w:val="28"/>
        </w:rPr>
        <w:t>：指标体系包括共性指标和个性指标两部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eastAsia="仿宋_GB2312"/>
          <w:color w:val="auto"/>
          <w:sz w:val="28"/>
          <w:szCs w:val="28"/>
        </w:rPr>
        <w:t>本次主要参照了财政部门制定的《部门整体支出绩效评价指标体系》，及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《岳阳市财政局关于落实2020年度财政支出绩效自评及绩效监控工作的通知》（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instrText xml:space="preserve"> HYPERLINK "http://www.yueyang.gov.cn/55570/55580/55581/55582/javascript:void(0);" \o "分享到微信"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EDEDED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岳财预〔2020〕86号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文件精神</w:t>
      </w:r>
      <w:r>
        <w:rPr>
          <w:rFonts w:hint="eastAsia" w:ascii="仿宋_GB2312" w:eastAsia="仿宋_GB2312"/>
          <w:color w:val="auto"/>
          <w:sz w:val="28"/>
          <w:szCs w:val="28"/>
        </w:rPr>
        <w:t>，根据部门具体情况对个性指标进行了调整细化，形成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岳阳市城市管理综合执法支队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年部门整体支出绩效评价评分表》。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整体支出绩效评价方法：采用因素分析法，比较法。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contextualSpacing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(四)评价过程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1.前期准备：按照市财政对绩效评价的要求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我单位成立了绩效评价小组，对相关的国家法律法规进行了认真学习，掌握政策。根据部门整体收支情况制定了部门整体支出绩效评价实施方案，设计了绩效评价指标体系和调查问卷。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2.组织实施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（1）核查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20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20年</w:t>
      </w:r>
      <w:r>
        <w:rPr>
          <w:rFonts w:hint="eastAsia" w:ascii="仿宋_GB2312" w:hAnsi="仿宋_GB2312" w:eastAsia="仿宋_GB2312" w:cs="仿宋_GB2312"/>
          <w:sz w:val="28"/>
          <w:szCs w:val="28"/>
        </w:rPr>
        <w:t>岳阳市财政预算批复执行及部门整体支出情况，着重核查了“三公经费”及资产管理、内部控制制度情况。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（2）核实了会计报表、明细帐、会计凭证、固定资产台账等账、表情况。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（3）进行了财政资金拨付核对和意见交流</w:t>
      </w:r>
      <w:r>
        <w:rPr>
          <w:rFonts w:hint="eastAsia" w:ascii="仿宋_GB2312" w:hAnsi="宋体" w:eastAsia="仿宋_GB2312" w:cs="宋体"/>
          <w:b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</w:rPr>
        <w:t>对发现的问题与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机关相关职能科室</w:t>
      </w:r>
      <w:r>
        <w:rPr>
          <w:rFonts w:hint="eastAsia" w:ascii="仿宋_GB2312" w:hAnsi="宋体" w:eastAsia="仿宋_GB2312" w:cs="宋体"/>
          <w:sz w:val="28"/>
          <w:szCs w:val="28"/>
        </w:rPr>
        <w:t>进行了多次意见交流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核对了部门职能和年初制定的绩效目标完成成情况。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bCs/>
          <w:sz w:val="28"/>
          <w:szCs w:val="28"/>
        </w:rPr>
        <w:t>分析评价：</w:t>
      </w:r>
      <w:r>
        <w:rPr>
          <w:rFonts w:hint="eastAsia" w:ascii="仿宋_GB2312" w:eastAsia="仿宋_GB2312"/>
          <w:sz w:val="28"/>
          <w:szCs w:val="28"/>
        </w:rPr>
        <w:t>对评价过程中收集的财务数据、内部制度、财政预算指标等资料进行了归纳和汇总分析。依据设定的部门整体支出绩效评价指标体系，对预算配置、预算执行、预算管理、资产管理、职责履行、履职效益等情况进行了评分</w:t>
      </w:r>
      <w:r>
        <w:rPr>
          <w:rFonts w:hint="eastAsia" w:ascii="仿宋_GB2312" w:hAnsi="宋体" w:eastAsia="仿宋_GB2312" w:cs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根据设定的绩效评价指标体系制订了评价指标底稿。根据底稿汇总，</w:t>
      </w:r>
      <w:r>
        <w:rPr>
          <w:rFonts w:hint="eastAsia" w:ascii="仿宋_GB2312" w:eastAsia="仿宋_GB2312"/>
          <w:sz w:val="28"/>
          <w:szCs w:val="28"/>
        </w:rPr>
        <w:t>形成了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岳阳市城市管理综合行政执法支队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>年部门整体支出绩效</w:t>
      </w:r>
      <w:r>
        <w:rPr>
          <w:rFonts w:hint="eastAsia" w:ascii="仿宋_GB2312" w:eastAsia="仿宋_GB2312"/>
          <w:sz w:val="28"/>
          <w:szCs w:val="28"/>
          <w:lang w:eastAsia="zh-CN"/>
        </w:rPr>
        <w:t>自评</w:t>
      </w:r>
      <w:r>
        <w:rPr>
          <w:rFonts w:hint="eastAsia" w:ascii="仿宋_GB2312" w:eastAsia="仿宋_GB2312"/>
          <w:sz w:val="28"/>
          <w:szCs w:val="28"/>
        </w:rPr>
        <w:t>报告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三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、部门（单位）整体支出管理及使用情况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2020年基本支出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2,114.08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万元，主要用于人员经费支出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1,794.94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319.14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万元。具体支出项目如下：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1.工资福利支出1,722.95万元，主要用于在职职工基本工资、绩效工资、社会保障缴费、津补贴等。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2.一般商品和服务支出267.89万元，主要用于办公费、水电费、维修费、差旅费等机关运转费用开支。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3.对个人和家庭补助支出71.99万元，主要用于离退休费、抚恤金、医疗费等支出。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4.资本性支出51.25万元，主要用于办公设备购置及基本建设。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（二）专项支出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.专项资金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使用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本年度专项资金支出1,414.02万元，主要用于执法办案、基建场地污染整治、夜市整治、中心城区限制燃放烟花炮竹、市容环卫监督员经费、执法巡逻车补助等项目。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专项资金管理情况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专项管理制度健全，各部门、各大队严格遵守支队《财务管理制度》、《管理考评实施方案》、《规范行政执法程序的规定》、《岳阳市城区禁止燃放烟花爆竹管理办法》、《电动巡逻车管理规定》、《协管员管理暂行规定》等规章制度，由支队考评办进行日常考核，纪检部门负责对规章制度实施的具体牵头、协调、监督，每月对实施情况进行总结、汇报、公示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专项资金经依法批准的预算执行，按照专款专用的原则，进行日常财务管理和会计核算，配合市财政、监察和审计等部门对项目专项资金的使用和管理情况进行监督检查，指导开展绩效自评工作。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、部门（单位）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完成了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2020年度项目的预算绩效目标申报，将各专项纳入绩效管理，明确了主体责任。各项目的责任部门在项目的实施过程中制定了项目实施方案，成立了项目领导小组，强化了项目管理的组织领导。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专项资金中涉及的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基础建设项目、资产采购等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政府采购事项均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执行了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项目招投标、政府采购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程序要求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同时严格合同签订，落实采招物资和服务的验收，做好资金支付的审核审批手续。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中心城区“牛皮癣”清理服务项目实行政府购买服务，竞争性谈判方式确定服务公司，以大包干形式承包（有效期一年）；岳阳大道地下通道管理项目实行政府购买服务，按小额物业定点管理确定服务公司，以大包干形式承包（有效期一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、部门（单位）整体支出绩效情况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（一）预算配置情况</w:t>
      </w:r>
    </w:p>
    <w:p>
      <w:pPr>
        <w:spacing w:line="360" w:lineRule="auto"/>
        <w:ind w:firstLine="560" w:firstLineChars="200"/>
        <w:contextualSpacing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财政供养人员控制率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2020年编制人数共计174人，其中参公编制162人，工勤编制2人，全额事业编制10人。实有人数148人，其中参公编制137人，全额事业11人。</w:t>
      </w:r>
      <w:r>
        <w:rPr>
          <w:rFonts w:hint="eastAsia" w:ascii="仿宋_GB2312" w:hAnsi="仿宋_GB2312" w:eastAsia="仿宋_GB2312" w:cs="仿宋_GB2312"/>
          <w:sz w:val="28"/>
          <w:szCs w:val="28"/>
        </w:rPr>
        <w:t>财政供养人员控制率为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contextualSpacing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Cs/>
          <w:sz w:val="28"/>
          <w:szCs w:val="28"/>
        </w:rPr>
        <w:t>“三公经费”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变动率：</w:t>
      </w:r>
      <w:r>
        <w:rPr>
          <w:rFonts w:hint="eastAsia" w:ascii="仿宋_GB2312" w:hAnsi="宋体" w:eastAsia="仿宋_GB2312" w:cs="宋体"/>
          <w:bCs/>
          <w:sz w:val="28"/>
          <w:szCs w:val="28"/>
        </w:rPr>
        <w:t>本年度“三公经费”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安排预算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44.00</w:t>
      </w:r>
      <w:r>
        <w:rPr>
          <w:rFonts w:hint="eastAsia" w:ascii="仿宋_GB2312" w:hAnsi="宋体" w:eastAsia="仿宋_GB2312" w:cs="宋体"/>
          <w:bCs/>
          <w:sz w:val="28"/>
          <w:szCs w:val="28"/>
        </w:rPr>
        <w:t>万元，上年度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预算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50.00</w:t>
      </w:r>
      <w:r>
        <w:rPr>
          <w:rFonts w:hint="eastAsia" w:ascii="仿宋_GB2312" w:hAnsi="宋体" w:eastAsia="仿宋_GB2312" w:cs="宋体"/>
          <w:bCs/>
          <w:sz w:val="28"/>
          <w:szCs w:val="28"/>
        </w:rPr>
        <w:t>万元，“三公经费”变动率为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-12.00</w:t>
      </w:r>
      <w:r>
        <w:rPr>
          <w:rFonts w:hint="eastAsia" w:ascii="仿宋_GB2312" w:hAnsi="宋体" w:eastAsia="仿宋_GB2312" w:cs="宋体"/>
          <w:bCs/>
          <w:sz w:val="28"/>
          <w:szCs w:val="28"/>
        </w:rPr>
        <w:t>%。</w:t>
      </w:r>
    </w:p>
    <w:p>
      <w:pPr>
        <w:spacing w:line="360" w:lineRule="auto"/>
        <w:ind w:firstLine="560" w:firstLineChars="200"/>
        <w:contextualSpacing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重点支出安排率：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年项目支出预算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1,495.00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万元，其中安排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办案费、基建场地污染源整治、夜市整治、岳阳大道地下通道管理经费等重点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1,355.00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万元，重点支出安排率为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90.64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%。</w:t>
      </w:r>
    </w:p>
    <w:p>
      <w:pPr>
        <w:spacing w:line="360" w:lineRule="auto"/>
        <w:ind w:firstLine="562" w:firstLineChars="200"/>
        <w:contextualSpacing/>
        <w:outlineLvl w:val="1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28"/>
          <w:szCs w:val="28"/>
        </w:rPr>
        <w:t>预算执行情况</w:t>
      </w:r>
    </w:p>
    <w:p>
      <w:pPr>
        <w:spacing w:line="36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预算调整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率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年初预算批复3,058.14万元，实际实现预算收入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highlight w:val="none"/>
        </w:rPr>
        <w:t>,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515</w:t>
      </w:r>
      <w:r>
        <w:rPr>
          <w:rFonts w:hint="eastAsia" w:ascii="仿宋_GB2312" w:eastAsia="仿宋_GB2312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87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，预算调整额为457.73万元。</w:t>
      </w:r>
      <w:r>
        <w:rPr>
          <w:rFonts w:hint="eastAsia" w:ascii="仿宋_GB2312" w:eastAsia="仿宋_GB2312"/>
          <w:sz w:val="28"/>
          <w:szCs w:val="28"/>
          <w:highlight w:val="none"/>
        </w:rPr>
        <w:t>预算调整率为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14.97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%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contextualSpacing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预算完成率：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年初预算3,058.14万元，实际实现预算收入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585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</w:t>
      </w:r>
      <w:r>
        <w:rPr>
          <w:rFonts w:hint="eastAsia" w:ascii="仿宋_GB2312" w:eastAsia="仿宋_GB2312"/>
          <w:sz w:val="28"/>
          <w:szCs w:val="28"/>
        </w:rPr>
        <w:t xml:space="preserve"> 万元，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预算完成率为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%。</w:t>
      </w:r>
    </w:p>
    <w:p>
      <w:pPr>
        <w:spacing w:line="360" w:lineRule="auto"/>
        <w:ind w:firstLine="560" w:firstLineChars="200"/>
        <w:contextualSpacing/>
        <w:rPr>
          <w:rFonts w:hint="eastAsia" w:ascii="仿宋_GB2312" w:hAnsi="宋体" w:eastAsia="仿宋_GB2312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资金结余：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上年各项资金结余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0.03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万元，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  <w:t>本年度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资金结余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>57.83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本年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资金结余超过上年结转。</w:t>
      </w:r>
    </w:p>
    <w:p>
      <w:pPr>
        <w:spacing w:line="360" w:lineRule="auto"/>
        <w:ind w:firstLine="562" w:firstLineChars="200"/>
        <w:contextualSpacing/>
        <w:outlineLvl w:val="1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（三）预算管理情况</w:t>
      </w:r>
    </w:p>
    <w:p>
      <w:pPr>
        <w:spacing w:line="36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资金使用合规，资金支付按照</w:t>
      </w:r>
      <w:r>
        <w:rPr>
          <w:rFonts w:hint="eastAsia" w:ascii="仿宋_GB2312" w:hAnsi="微软雅黑" w:eastAsia="仿宋_GB2312"/>
          <w:sz w:val="28"/>
          <w:szCs w:val="28"/>
          <w:shd w:val="clear" w:color="auto" w:fill="FFFFFF"/>
        </w:rPr>
        <w:t>《</w:t>
      </w:r>
      <w:r>
        <w:rPr>
          <w:rFonts w:hint="eastAsia" w:ascii="仿宋_GB2312" w:hAnsi="微软雅黑" w:eastAsia="仿宋_GB2312"/>
          <w:sz w:val="28"/>
          <w:szCs w:val="28"/>
          <w:shd w:val="clear" w:color="auto" w:fill="FFFFFF"/>
          <w:lang w:eastAsia="zh-CN"/>
        </w:rPr>
        <w:t>预算</w:t>
      </w:r>
      <w:r>
        <w:rPr>
          <w:rFonts w:hint="eastAsia" w:ascii="仿宋_GB2312" w:hAnsi="微软雅黑" w:eastAsia="仿宋_GB2312"/>
          <w:sz w:val="28"/>
          <w:szCs w:val="28"/>
          <w:shd w:val="clear" w:color="auto" w:fill="FFFFFF"/>
        </w:rPr>
        <w:t>法》</w:t>
      </w:r>
      <w:r>
        <w:rPr>
          <w:rFonts w:hint="eastAsia" w:ascii="仿宋_GB2312" w:hAnsi="微软雅黑" w:eastAsia="仿宋_GB2312"/>
          <w:sz w:val="28"/>
          <w:szCs w:val="28"/>
          <w:shd w:val="clear" w:color="auto" w:fill="FFFFFF"/>
          <w:lang w:eastAsia="zh-CN"/>
        </w:rPr>
        <w:t>、《政府会计制度》，</w:t>
      </w:r>
      <w:r>
        <w:rPr>
          <w:rFonts w:hint="eastAsia" w:ascii="仿宋_GB2312" w:hAnsi="微软雅黑" w:eastAsia="仿宋_GB2312"/>
          <w:sz w:val="28"/>
          <w:szCs w:val="28"/>
          <w:shd w:val="clear" w:color="auto" w:fill="FFFFFF"/>
        </w:rPr>
        <w:t>和</w:t>
      </w:r>
      <w:r>
        <w:rPr>
          <w:rFonts w:hint="eastAsia" w:ascii="仿宋_GB2312" w:eastAsia="仿宋_GB2312"/>
          <w:sz w:val="28"/>
          <w:szCs w:val="28"/>
          <w:lang w:eastAsia="zh-CN"/>
        </w:rPr>
        <w:t>局机关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《财务管理制度》</w:t>
      </w:r>
      <w:r>
        <w:rPr>
          <w:rFonts w:hint="eastAsia" w:ascii="仿宋_GB2312" w:eastAsia="仿宋_GB2312"/>
          <w:sz w:val="28"/>
          <w:szCs w:val="28"/>
        </w:rPr>
        <w:t>执行，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  <w:r>
        <w:rPr>
          <w:rFonts w:hint="eastAsia" w:ascii="仿宋_GB2312" w:eastAsia="仿宋_GB2312"/>
          <w:sz w:val="28"/>
          <w:szCs w:val="28"/>
        </w:rPr>
        <w:t>截留、挪用资金等情况。</w:t>
      </w:r>
    </w:p>
    <w:p>
      <w:pPr>
        <w:spacing w:line="360" w:lineRule="auto"/>
        <w:ind w:firstLine="560" w:firstLineChars="200"/>
        <w:contextualSpacing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算信息内容已在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政府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网站公示。公开信息基础数据信息和会计信息资料准确、真实、完整。</w:t>
      </w:r>
    </w:p>
    <w:p>
      <w:pPr>
        <w:spacing w:line="36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严格执行政府采购制度。年度所有资本性支出和服务采购等均按规定执行了政府采购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“三公经费”管理和使用情况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2020年度“三公经费”支出14.50万元，与去年同期相比减少2.49万元，降幅14.66%。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公务接待费年初预算8.00万元，实际支出0.49万元，控制在预算指标内。实际支出同比减少0.10万元，主要用于公务接待和加班用餐。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2.公务用车运行维护费年初预算36.00万元，实际支出14.01万元，未突破预算指标。实际支出同比减少2.39万元。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3.因公出国（境）费未安排预算，本年无支出。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4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 w:cs="宋体"/>
          <w:bCs/>
          <w:sz w:val="28"/>
          <w:szCs w:val="28"/>
        </w:rPr>
        <w:t>“三公经费”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变动率：</w:t>
      </w:r>
      <w:r>
        <w:rPr>
          <w:rFonts w:hint="eastAsia" w:ascii="仿宋_GB2312" w:hAnsi="宋体" w:eastAsia="仿宋_GB2312" w:cs="宋体"/>
          <w:bCs/>
          <w:sz w:val="28"/>
          <w:szCs w:val="28"/>
        </w:rPr>
        <w:t>本年度“三公经费”预算总额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44</w:t>
      </w:r>
      <w:r>
        <w:rPr>
          <w:rFonts w:hint="eastAsia" w:ascii="仿宋_GB2312" w:hAnsi="宋体" w:eastAsia="仿宋_GB2312" w:cs="宋体"/>
          <w:bCs/>
          <w:sz w:val="28"/>
          <w:szCs w:val="28"/>
        </w:rPr>
        <w:t>.00万元，上年度预算总额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50.00</w:t>
      </w:r>
      <w:r>
        <w:rPr>
          <w:rFonts w:hint="eastAsia" w:ascii="仿宋_GB2312" w:hAnsi="宋体" w:eastAsia="仿宋_GB2312" w:cs="宋体"/>
          <w:bCs/>
          <w:sz w:val="28"/>
          <w:szCs w:val="28"/>
        </w:rPr>
        <w:t>万元，“三公经费”变动率为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-12.00</w:t>
      </w:r>
      <w:r>
        <w:rPr>
          <w:rFonts w:hint="eastAsia" w:ascii="仿宋_GB2312" w:hAnsi="宋体" w:eastAsia="仿宋_GB2312" w:cs="宋体"/>
          <w:bCs/>
          <w:sz w:val="28"/>
          <w:szCs w:val="28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宋体" w:eastAsia="仿宋_GB2312" w:cs="宋体"/>
          <w:bCs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bidi="ar"/>
        </w:rPr>
        <w:t>“三公经费”控制率：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bidi="ar"/>
        </w:rPr>
        <w:t>本年度</w:t>
      </w:r>
      <w:r>
        <w:rPr>
          <w:rFonts w:hint="eastAsia" w:ascii="仿宋_GB2312" w:hAnsi="宋体" w:eastAsia="仿宋_GB2312" w:cs="宋体"/>
          <w:bCs/>
          <w:sz w:val="28"/>
          <w:szCs w:val="28"/>
        </w:rPr>
        <w:t>“三公经费”预算总额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（不含交通工具购置及其他交通费用）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44</w:t>
      </w:r>
      <w:r>
        <w:rPr>
          <w:rFonts w:hint="eastAsia" w:ascii="仿宋_GB2312" w:hAnsi="宋体" w:eastAsia="仿宋_GB2312" w:cs="宋体"/>
          <w:bCs/>
          <w:sz w:val="28"/>
          <w:szCs w:val="28"/>
        </w:rPr>
        <w:t>.00万元，实际支出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14.50</w:t>
      </w:r>
      <w:r>
        <w:rPr>
          <w:rFonts w:hint="eastAsia" w:ascii="仿宋_GB2312" w:hAnsi="宋体" w:eastAsia="仿宋_GB2312" w:cs="宋体"/>
          <w:bCs/>
          <w:sz w:val="28"/>
          <w:szCs w:val="28"/>
        </w:rPr>
        <w:t>万元，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bidi="ar"/>
        </w:rPr>
        <w:t>“三公经费”控制率为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 w:bidi="ar"/>
        </w:rPr>
        <w:t>32.95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bidi="ar"/>
        </w:rPr>
        <w:t>%。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（五）公务卡刷卡情况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2020年度直接支付总金额1,882.98万元，授权支付总金额1,645.12万元，其中公务卡刷卡总金额111.23万元，转账支出金额1,533.37万元。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公务卡使用符合市财政部门预算批复规定。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outlineLvl w:val="1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555555"/>
          <w:spacing w:val="0"/>
          <w:sz w:val="28"/>
          <w:szCs w:val="28"/>
          <w:shd w:val="clear" w:color="auto" w:fill="FFFFFF"/>
        </w:rPr>
        <w:t>固定资产管理情况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1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20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年度固定资期初余额为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  <w:lang w:val="en-US" w:eastAsia="zh-CN"/>
        </w:rPr>
        <w:t>662.23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  <w:lang w:eastAsia="zh-CN"/>
        </w:rPr>
        <w:t>万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元，本年度新增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  <w:lang w:val="en-US" w:eastAsia="zh-CN"/>
        </w:rPr>
        <w:t>24.78万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元，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固定资产</w:t>
      </w:r>
      <w:r>
        <w:rPr>
          <w:rFonts w:hint="eastAsia" w:ascii="仿宋_GB2312" w:hAnsi="宋体" w:eastAsia="仿宋_GB2312" w:cs="宋体"/>
          <w:sz w:val="28"/>
          <w:szCs w:val="28"/>
        </w:rPr>
        <w:t>期末余额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687.01万</w:t>
      </w:r>
      <w:r>
        <w:rPr>
          <w:rFonts w:hint="eastAsia" w:ascii="仿宋_GB2312" w:hAnsi="宋体" w:eastAsia="仿宋_GB2312" w:cs="宋体"/>
          <w:sz w:val="28"/>
          <w:szCs w:val="28"/>
        </w:rPr>
        <w:t>元。固定资产政府采购执行率为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28"/>
          <w:szCs w:val="28"/>
        </w:rPr>
        <w:t>%，无闲置固定资产。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制定了《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国有资产管理办法</w:t>
      </w:r>
      <w:r>
        <w:rPr>
          <w:rFonts w:hint="eastAsia" w:ascii="仿宋_GB2312" w:hAnsi="宋体" w:eastAsia="仿宋_GB2312" w:cs="宋体"/>
          <w:sz w:val="28"/>
          <w:szCs w:val="28"/>
        </w:rPr>
        <w:t>》。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根据管理办法，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我们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落实了固定资产从购置、使用、清查，到处置、交接的规范化管理，明确了职责，保障了国有资产安全，提高了国有资产的使用效率。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3.2020年</w:t>
      </w:r>
      <w:r>
        <w:rPr>
          <w:rFonts w:hint="eastAsia" w:ascii="仿宋_GB2312" w:hAnsi="宋体" w:eastAsia="仿宋_GB2312" w:cs="宋体"/>
          <w:sz w:val="28"/>
          <w:szCs w:val="28"/>
        </w:rPr>
        <w:t>对固定资产进行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了</w:t>
      </w:r>
      <w:r>
        <w:rPr>
          <w:rFonts w:hint="eastAsia" w:ascii="仿宋_GB2312" w:hAnsi="宋体" w:eastAsia="仿宋_GB2312" w:cs="宋体"/>
          <w:sz w:val="28"/>
          <w:szCs w:val="28"/>
        </w:rPr>
        <w:t>盘点，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保证了账实相符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ind w:firstLine="562" w:firstLineChars="200"/>
        <w:contextualSpacing/>
        <w:outlineLvl w:val="1"/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eastAsia="zh-CN"/>
        </w:rPr>
        <w:t>（七）</w:t>
      </w:r>
      <w:r>
        <w:rPr>
          <w:rFonts w:hint="eastAsia" w:ascii="仿宋_GB2312" w:eastAsia="仿宋_GB2312"/>
          <w:b/>
          <w:bCs/>
          <w:sz w:val="28"/>
          <w:szCs w:val="28"/>
        </w:rPr>
        <w:t>职责履行及履职效益情况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1.联防联控，构筑坚强疫情防控线。</w:t>
      </w:r>
      <w:r>
        <w:rPr>
          <w:rFonts w:hint="eastAsia" w:ascii="仿宋_GB2312" w:eastAsia="仿宋_GB2312"/>
          <w:sz w:val="28"/>
          <w:szCs w:val="28"/>
        </w:rPr>
        <w:t>新冠疫情以来，在16个城管岗亭和15辆新式电动巡逻车的电子屏上滚动播放疫情防控宣传标语，引导市民群众科学防控；抽调人员深入社区、小区、产权单位开展防控防疫检查，对临街门店劝导关停，协同炮台山社区开展联防联控，构筑起一条疫情防控线；组织干部职工为新冠疫情防控一线捐款，树立了“守初心、有担当”的良好城管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2.勇挑重担，创造优良市容市貌。</w:t>
      </w:r>
      <w:r>
        <w:rPr>
          <w:rFonts w:hint="eastAsia" w:ascii="仿宋_GB2312" w:eastAsia="仿宋_GB2312"/>
          <w:sz w:val="28"/>
          <w:szCs w:val="28"/>
        </w:rPr>
        <w:t>全力配合巴陵大桥市场整治工作，先后参与拆除行动12次，累计派出执法人员1500人次，顺利拆除市场各类建（构）筑物千余处、约1.7万平米，创造了拆除整治工作的“城管速度”，实现了“零差错、零事故、零损失”。面对国家卫生城市保牌、全国文明城市复查及污染防治攻坚战等三大重点任务，全体干部职工下沉一线，迎检或督查期间每天工作近16个小时，时刻坚守岗位，对各类影响测评的问题“预处理”，对动态违规行为及时纠章，做到了责任范围内市容秩序“零扣分”，上级督查时市容秩序确保“高标准”。对未予审批、手续不全的户外广告严格执法，做到发现一起、处置一起、拆除一起。全年共拆除大型户外广告30处、巨幅100余条、喷绘350余条，总面积达2.7万平米。对无序户外广告，逐个上门排查，逐一下达整改，逐项登记造册，累计拆除户外广告500余块。去年下半年起，继续启动横向招牌拆除工作，先后拆除325块。通过以上有力措施，使城市街道立面更显清爽。加大对夜市摊点摆放相对集中路段的管理力度，签订《夜市文明经营承诺书》200余份，夏秋两季多次开展夜市专项整治行动，全年开展整治行动90余次，重点整治夜市门店油烟污染、提前出市乱摆桌椅、乱扔垃圾、乱倒污水等行为。对辖区所有夜市门店逐一上门排查烧烤炉排烟情况，共督促140余家夜市门店开启油烟净化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强化禁炮督查和</w:t>
      </w:r>
      <w:r>
        <w:rPr>
          <w:rFonts w:hint="eastAsia" w:ascii="仿宋_GB2312" w:eastAsia="仿宋_GB2312"/>
          <w:b/>
          <w:bCs/>
          <w:sz w:val="28"/>
          <w:szCs w:val="28"/>
        </w:rPr>
        <w:t>燃气执法专项行动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，消除中心城区安全隐患。</w:t>
      </w:r>
      <w:r>
        <w:rPr>
          <w:rFonts w:hint="eastAsia" w:ascii="仿宋_GB2312" w:eastAsia="仿宋_GB2312"/>
          <w:sz w:val="28"/>
          <w:szCs w:val="28"/>
        </w:rPr>
        <w:t>通过开拓创新宣传阵地、强化炮源清缴和禁炮督查等措施，同时加强与各办事处、社区的工作联系，实现了中心城区违规燃炮现象特别是重要节期基本清零的目标。全年共查处各类涉炮案件40余起，依法作出行政处罚5.2万余元。联合相关部门每月开展3-4次燃气执法专项行动，全年开展各类执法检查40余次，累计出动执法人员700余人次；加强对中心城区瓶装液化气销售网点的管理，对36家瓶装液化气进行了查处，处罚金额4.1万元；同时主动服务、多方协调、为民解忧、送气到户，如为机关二幼家属小区等老旧小区解决用气、协调富兴和城天燃气开通问题，受到用气群众的点赞好评。</w:t>
      </w:r>
    </w:p>
    <w:p>
      <w:pPr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4.优化执法方式，打造专业化、规范化、人性化的执法队伍。</w:t>
      </w:r>
      <w:r>
        <w:rPr>
          <w:rFonts w:hint="eastAsia" w:ascii="仿宋_GB2312" w:eastAsia="仿宋_GB2312"/>
          <w:b w:val="0"/>
          <w:bCs/>
          <w:sz w:val="28"/>
          <w:szCs w:val="28"/>
        </w:rPr>
        <w:t>探索信息化建设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28"/>
          <w:szCs w:val="28"/>
        </w:rPr>
        <w:t>以路段信息化推动管理精细化，启动了管辖范围内所有地理空间的信息采集收录及档案归建工作，累计完成录入有效信息近万家，实现了管辖范围内所有机关和企事业单位、门店、工地以及各类运输车辆的全覆盖。规范自由裁量权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28"/>
          <w:szCs w:val="28"/>
        </w:rPr>
        <w:t>确立先整改后处罚的原则，对每一起案件均采取发现、整改、教育、处罚、常态化保持“五步走”的办案流程。建立了案件审查制度，所有完结的案件溯源可查。全年共立案700余起，处罚203.6万元，创造了支队行政处罚历史的新高点，且所有案件未发生一起重大法律纠纷。推进非接触性执法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28"/>
          <w:szCs w:val="28"/>
        </w:rPr>
        <w:t>以市民关注度较高的扬尘举报为契机进行试点。对经过多次面对面的宣教、文书下达后仍极不配合的4名管理相对人，采用非接触性执法工作方法立案办理。办案过程中注重咨询司法、法院等相关部门，以规避细节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</w:rPr>
        <w:t>、整体支出综合评价及结论</w:t>
      </w:r>
    </w:p>
    <w:p>
      <w:pPr>
        <w:spacing w:line="580" w:lineRule="exact"/>
        <w:ind w:firstLine="560" w:firstLineChars="200"/>
        <w:rPr>
          <w:rFonts w:hint="eastAsia" w:ascii="仿宋_GB2312" w:hAnsi="Calibri" w:eastAsia="仿宋_GB2312" w:cs="Times New Roman"/>
          <w:b w:val="0"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eastAsia="zh-CN"/>
        </w:rPr>
        <w:t>岳阳市城市管理综合行政执法支队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认真履行本部门职责职能，各部门年初目标任务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eastAsia="zh-CN"/>
        </w:rPr>
        <w:t>完成较好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，预算成本控制较好，整体支出绩效良好，达到既定的目标要求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eastAsia="zh-CN"/>
        </w:rPr>
        <w:t>。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根据评价指标综合评分，20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年单位整体支出绩效自评得分为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eastAsia="zh-CN"/>
        </w:rPr>
        <w:t>“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9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  <w:lang w:val="en-US" w:eastAsia="zh-CN"/>
        </w:rPr>
        <w:t>7”</w:t>
      </w:r>
      <w:r>
        <w:rPr>
          <w:rFonts w:hint="eastAsia" w:ascii="仿宋_GB2312" w:hAnsi="Calibri" w:eastAsia="仿宋_GB2312" w:cs="Times New Roman"/>
          <w:b w:val="0"/>
          <w:bCs/>
          <w:sz w:val="28"/>
          <w:szCs w:val="28"/>
        </w:rPr>
        <w:t>分，评价等级为“优秀”。其中：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contextualSpacing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预算配置</w:t>
      </w:r>
      <w:r>
        <w:rPr>
          <w:rFonts w:hint="eastAsia" w:ascii="仿宋_GB2312" w:hAnsi="宋体" w:eastAsia="仿宋_GB2312" w:cs="宋体"/>
          <w:sz w:val="28"/>
          <w:szCs w:val="28"/>
        </w:rPr>
        <w:t>总分15分，该项目得分1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分，扣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8"/>
          <w:szCs w:val="28"/>
        </w:rPr>
        <w:t>分;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预算执行</w:t>
      </w:r>
      <w:r>
        <w:rPr>
          <w:rFonts w:hint="eastAsia" w:ascii="仿宋_GB2312" w:hAnsi="宋体" w:eastAsia="仿宋_GB2312" w:cs="宋体"/>
          <w:sz w:val="28"/>
          <w:szCs w:val="28"/>
        </w:rPr>
        <w:t>总分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28"/>
          <w:szCs w:val="28"/>
        </w:rPr>
        <w:t>分，该项目得分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28"/>
          <w:szCs w:val="28"/>
        </w:rPr>
        <w:t>分，扣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.预算管理</w:t>
      </w:r>
      <w:r>
        <w:rPr>
          <w:rFonts w:hint="eastAsia" w:ascii="仿宋_GB2312" w:hAnsi="宋体" w:eastAsia="仿宋_GB2312" w:cs="宋体"/>
          <w:sz w:val="28"/>
          <w:szCs w:val="28"/>
        </w:rPr>
        <w:t>总分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28"/>
          <w:szCs w:val="28"/>
        </w:rPr>
        <w:t>分，该项目得分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28"/>
          <w:szCs w:val="28"/>
        </w:rPr>
        <w:t>分，扣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8"/>
          <w:szCs w:val="28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4.资产管理部分10分，该项目得分10分，扣0分；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 w:cs="宋体"/>
          <w:sz w:val="28"/>
          <w:szCs w:val="28"/>
        </w:rPr>
        <w:t>职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责履行</w:t>
      </w:r>
      <w:r>
        <w:rPr>
          <w:rFonts w:hint="eastAsia" w:ascii="仿宋_GB2312" w:hAnsi="宋体" w:eastAsia="仿宋_GB2312" w:cs="宋体"/>
          <w:sz w:val="28"/>
          <w:szCs w:val="28"/>
        </w:rPr>
        <w:t>总分2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分，该项目得分2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分，扣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8"/>
          <w:szCs w:val="28"/>
        </w:rPr>
        <w:t>分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履职效益</w:t>
      </w:r>
      <w:r>
        <w:rPr>
          <w:rFonts w:hint="eastAsia" w:ascii="仿宋_GB2312" w:hAnsi="宋体" w:eastAsia="仿宋_GB2312" w:cs="宋体"/>
          <w:sz w:val="28"/>
          <w:szCs w:val="28"/>
        </w:rPr>
        <w:t>总分2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分，该项目得分2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分，扣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8"/>
          <w:szCs w:val="28"/>
        </w:rPr>
        <w:t>分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contextualSpacing/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具体见《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岳阳市城市管理综合行政执法支队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年部门整体支出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绩效评价评分表</w:t>
      </w:r>
      <w:r>
        <w:rPr>
          <w:rFonts w:hint="eastAsia" w:ascii="仿宋_GB2312" w:hAnsi="宋体" w:eastAsia="仿宋_GB2312" w:cs="宋体"/>
          <w:bCs/>
          <w:sz w:val="28"/>
          <w:szCs w:val="28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、存在的主要问题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预算执行能力有待加强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本年度资金结余58.80万元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，较上年结余资金有所增加。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执法保障不强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人员年龄结构偏大，整体素质欠优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干部队伍的思想观念跟形势的发展不相适应。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工作方法不活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如“门前三包”等执法管理事项，都可通过有奖举报措施调动社会参与的积极性。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常态化管理水平有待提升；内部、外部工作环境有待进一步改观等。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outlineLvl w:val="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八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、改进措施和有关建议</w:t>
      </w:r>
    </w:p>
    <w:p>
      <w:pPr>
        <w:spacing w:line="360" w:lineRule="auto"/>
        <w:ind w:firstLine="560" w:firstLineChars="200"/>
        <w:contextualSpacing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）进一步</w:t>
      </w:r>
      <w:r>
        <w:rPr>
          <w:rFonts w:hint="eastAsia" w:ascii="仿宋_GB2312" w:hAnsi="宋体" w:eastAsia="仿宋_GB2312" w:cs="宋体"/>
          <w:sz w:val="28"/>
          <w:szCs w:val="28"/>
        </w:rPr>
        <w:t>强化预算意识，提高财政资金的使用效率，防止资金沉淀。</w:t>
      </w:r>
    </w:p>
    <w:p>
      <w:pPr>
        <w:spacing w:line="360" w:lineRule="auto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）加强干部队伍建设。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以党建总揽引领队伍建设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全面加强党的领导，健全和完善工作部署、联系指导、教育培训和考核监督</w:t>
      </w:r>
      <w:r>
        <w:rPr>
          <w:rFonts w:hint="eastAsia" w:ascii="仿宋_GB2312" w:eastAsia="仿宋_GB2312"/>
          <w:sz w:val="28"/>
          <w:szCs w:val="28"/>
          <w:lang w:eastAsia="zh-CN"/>
        </w:rPr>
        <w:t>机制，</w:t>
      </w:r>
      <w:r>
        <w:rPr>
          <w:rFonts w:hint="eastAsia" w:ascii="仿宋_GB2312" w:eastAsia="仿宋_GB2312"/>
          <w:sz w:val="28"/>
          <w:szCs w:val="28"/>
        </w:rPr>
        <w:t>推动党建工作融入城管综合执法工作的方方面面，实现队伍的高质量发展。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以法制思维规范执法流程，保障执法公平高效。</w:t>
      </w:r>
      <w:r>
        <w:rPr>
          <w:rFonts w:hint="eastAsia" w:ascii="仿宋_GB2312" w:hAnsi="仿宋_GB2312" w:eastAsia="仿宋_GB2312" w:cs="仿宋_GB2312"/>
          <w:sz w:val="28"/>
          <w:szCs w:val="28"/>
        </w:rPr>
        <w:t>强化事前公开，规范事中公示，加强事后公开，实行全过程公开，接受广大市民群众及社会各界监督，确保执法公平与正义。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面推行执法全过程记录制度。通过文字、音像等记录形式，对行政执法的行动、调查取证、审核决定、送达执行等全部过程进行记录，并全面系统归档保存，做到执法过程留痕和可回溯管理。全面推行重大执法决定法制审核制度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这是确保重大执法决定合法有效的关键环节。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93501"/>
    <w:rsid w:val="406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2021-09-17T02:19:00Z</dcterms:created>
  <dc:creator>Administrator</dc:creator>
  <cp:lastModifiedBy>Administrator</cp:lastModifiedBy>
  <dcterms:modified xsi:type="dcterms:W3CDTF">2021-09-17T02:22:14Z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